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94D8" w14:textId="77777777" w:rsidR="007D50A8" w:rsidRDefault="007D50A8" w:rsidP="007D50A8">
      <w:pPr>
        <w:tabs>
          <w:tab w:val="num" w:pos="567"/>
          <w:tab w:val="left" w:pos="1440"/>
        </w:tabs>
        <w:suppressAutoHyphens/>
        <w:spacing w:line="240" w:lineRule="exact"/>
        <w:ind w:left="862" w:hanging="862"/>
        <w:jc w:val="both"/>
      </w:pPr>
    </w:p>
    <w:p w14:paraId="4B15E372" w14:textId="335B4C87" w:rsidR="007D50A8" w:rsidRDefault="007D50A8" w:rsidP="6CC8A49B">
      <w:pPr>
        <w:pStyle w:val="Prrafodelista"/>
        <w:widowControl/>
        <w:tabs>
          <w:tab w:val="left" w:pos="1440"/>
        </w:tabs>
        <w:suppressAutoHyphens/>
        <w:spacing w:line="240" w:lineRule="exact"/>
        <w:ind w:left="862"/>
        <w:jc w:val="center"/>
        <w:rPr>
          <w:rFonts w:ascii="Calibri" w:hAnsi="Calibri"/>
          <w:b/>
          <w:bCs/>
        </w:rPr>
      </w:pPr>
      <w:r w:rsidRPr="6CC8A49B">
        <w:rPr>
          <w:rFonts w:ascii="Calibri" w:hAnsi="Calibri"/>
          <w:b/>
          <w:bCs/>
        </w:rPr>
        <w:t>ANEXO N.</w:t>
      </w:r>
      <w:r w:rsidR="0017710E">
        <w:rPr>
          <w:rFonts w:ascii="Calibri" w:hAnsi="Calibri"/>
          <w:b/>
          <w:bCs/>
        </w:rPr>
        <w:t>15</w:t>
      </w:r>
      <w:r w:rsidRPr="6CC8A49B">
        <w:rPr>
          <w:rFonts w:ascii="Calibri" w:hAnsi="Calibri"/>
          <w:b/>
          <w:bCs/>
        </w:rPr>
        <w:t xml:space="preserve"> ENTREGABLES OPERACIÓN CONTACT CENTER 2024</w:t>
      </w:r>
      <w:commentRangeStart w:id="0"/>
      <w:commentRangeEnd w:id="0"/>
      <w:r>
        <w:commentReference w:id="0"/>
      </w:r>
    </w:p>
    <w:p w14:paraId="418D955B" w14:textId="77777777" w:rsidR="007D50A8" w:rsidRDefault="007D50A8" w:rsidP="007D50A8">
      <w:pPr>
        <w:spacing w:line="240" w:lineRule="exact"/>
        <w:jc w:val="both"/>
        <w:rPr>
          <w:rFonts w:ascii="Calibri" w:hAnsi="Calibri"/>
        </w:rPr>
      </w:pPr>
    </w:p>
    <w:p w14:paraId="0CB78E5A" w14:textId="77777777" w:rsidR="007D50A8" w:rsidRDefault="007D50A8" w:rsidP="007D50A8">
      <w:pPr>
        <w:spacing w:line="240" w:lineRule="exact"/>
        <w:jc w:val="both"/>
        <w:rPr>
          <w:rFonts w:ascii="Calibri" w:hAnsi="Calibri"/>
        </w:rPr>
      </w:pPr>
    </w:p>
    <w:p w14:paraId="16F2B98C" w14:textId="4F142D61" w:rsidR="007D50A8" w:rsidRPr="00D51294" w:rsidRDefault="007D50A8" w:rsidP="007D50A8">
      <w:pPr>
        <w:spacing w:line="24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El Proveedor seleccionado </w:t>
      </w:r>
      <w:r w:rsidRPr="00D51294">
        <w:rPr>
          <w:rFonts w:ascii="Calibri" w:hAnsi="Calibri"/>
        </w:rPr>
        <w:t xml:space="preserve">deberá presentar de forma </w:t>
      </w:r>
      <w:r>
        <w:rPr>
          <w:rFonts w:ascii="Calibri" w:hAnsi="Calibri"/>
        </w:rPr>
        <w:t xml:space="preserve">mensual vencida, dentro de los cinco </w:t>
      </w:r>
      <w:r w:rsidRPr="00D51294">
        <w:rPr>
          <w:rFonts w:ascii="Calibri" w:hAnsi="Calibri"/>
        </w:rPr>
        <w:t>(</w:t>
      </w:r>
      <w:r>
        <w:rPr>
          <w:rFonts w:ascii="Calibri" w:hAnsi="Calibri"/>
        </w:rPr>
        <w:t>5</w:t>
      </w:r>
      <w:r w:rsidRPr="00D51294">
        <w:rPr>
          <w:rFonts w:ascii="Calibri" w:hAnsi="Calibri"/>
        </w:rPr>
        <w:t xml:space="preserve">) primeros días calendario del mes siguiente a la prestación del servicio, un informe dividido por secciones, que incluya la actividad </w:t>
      </w:r>
      <w:r>
        <w:rPr>
          <w:rFonts w:ascii="Calibri" w:hAnsi="Calibri"/>
        </w:rPr>
        <w:t>de los diferentes canales atendidos</w:t>
      </w:r>
      <w:r w:rsidRPr="00D51294">
        <w:rPr>
          <w:rFonts w:ascii="Calibri" w:hAnsi="Calibri"/>
        </w:rPr>
        <w:t xml:space="preserve">, los resultados de la operación y la gestión del </w:t>
      </w:r>
      <w:proofErr w:type="spellStart"/>
      <w:r w:rsidRPr="00D51294">
        <w:rPr>
          <w:rFonts w:ascii="Calibri" w:hAnsi="Calibri"/>
        </w:rPr>
        <w:t>contact</w:t>
      </w:r>
      <w:proofErr w:type="spellEnd"/>
      <w:r w:rsidRPr="00D51294">
        <w:rPr>
          <w:rFonts w:ascii="Calibri" w:hAnsi="Calibri"/>
        </w:rPr>
        <w:t xml:space="preserve"> center, conforme a los acuerdos de niveles de servicios pactados. </w:t>
      </w:r>
    </w:p>
    <w:p w14:paraId="78C4E894" w14:textId="77777777" w:rsidR="007D50A8" w:rsidRPr="00D51294" w:rsidRDefault="007D50A8" w:rsidP="007D50A8">
      <w:pPr>
        <w:spacing w:line="240" w:lineRule="exact"/>
        <w:jc w:val="both"/>
        <w:rPr>
          <w:rFonts w:ascii="Calibri" w:hAnsi="Calibri"/>
        </w:rPr>
      </w:pPr>
    </w:p>
    <w:p w14:paraId="351B62DD" w14:textId="77777777" w:rsidR="007D50A8" w:rsidRPr="00A31D2C" w:rsidRDefault="007D50A8" w:rsidP="007D50A8">
      <w:pPr>
        <w:spacing w:line="240" w:lineRule="exact"/>
        <w:jc w:val="both"/>
        <w:rPr>
          <w:rFonts w:ascii="Calibri" w:hAnsi="Calibri"/>
        </w:rPr>
      </w:pPr>
      <w:r w:rsidRPr="00D51294">
        <w:rPr>
          <w:rFonts w:ascii="Calibri" w:hAnsi="Calibri"/>
        </w:rPr>
        <w:t xml:space="preserve">El informe deberá reflejar la situación del </w:t>
      </w:r>
      <w:proofErr w:type="spellStart"/>
      <w:r w:rsidRPr="00D51294">
        <w:rPr>
          <w:rFonts w:ascii="Calibri" w:hAnsi="Calibri"/>
        </w:rPr>
        <w:t>Contact</w:t>
      </w:r>
      <w:proofErr w:type="spellEnd"/>
      <w:r w:rsidRPr="00D51294">
        <w:rPr>
          <w:rFonts w:ascii="Calibri" w:hAnsi="Calibri"/>
        </w:rPr>
        <w:t xml:space="preserve"> Center y el estatus con los cumplimientos de las metas establecidas al inicio de la operación, tales como:</w:t>
      </w:r>
      <w:r w:rsidRPr="00A31D2C">
        <w:rPr>
          <w:rFonts w:ascii="Calibri" w:hAnsi="Calibri"/>
        </w:rPr>
        <w:t xml:space="preserve"> </w:t>
      </w:r>
    </w:p>
    <w:p w14:paraId="42CBFEA2" w14:textId="26F47681" w:rsidR="007D50A8" w:rsidRDefault="007D50A8" w:rsidP="007D50A8">
      <w:pPr>
        <w:pStyle w:val="Prrafodelista"/>
        <w:widowControl/>
        <w:tabs>
          <w:tab w:val="left" w:pos="1440"/>
        </w:tabs>
        <w:suppressAutoHyphens/>
        <w:spacing w:line="240" w:lineRule="exact"/>
        <w:ind w:left="862"/>
        <w:contextualSpacing w:val="0"/>
        <w:jc w:val="both"/>
        <w:rPr>
          <w:rFonts w:ascii="Calibri" w:hAnsi="Calibri"/>
          <w:b/>
        </w:rPr>
      </w:pPr>
    </w:p>
    <w:p w14:paraId="0B72EAB0" w14:textId="77777777" w:rsidR="007D50A8" w:rsidRPr="007D50A8" w:rsidRDefault="007D50A8" w:rsidP="007D50A8">
      <w:pPr>
        <w:pStyle w:val="Prrafodelista"/>
        <w:widowControl/>
        <w:tabs>
          <w:tab w:val="left" w:pos="1440"/>
        </w:tabs>
        <w:suppressAutoHyphens/>
        <w:spacing w:line="240" w:lineRule="exact"/>
        <w:ind w:left="862"/>
        <w:contextualSpacing w:val="0"/>
        <w:jc w:val="both"/>
        <w:rPr>
          <w:rFonts w:ascii="Calibri" w:hAnsi="Calibri"/>
          <w:b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3685"/>
      </w:tblGrid>
      <w:tr w:rsidR="0067684B" w14:paraId="24863E3D" w14:textId="77777777" w:rsidTr="0067684B">
        <w:trPr>
          <w:trHeight w:val="645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50DEE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</w:rPr>
              <w:t>Informe de Llamadas del último día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4538E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  <w:lang w:val="es-ES_tradnl"/>
              </w:rPr>
              <w:t>Mes vencido dentro de los cinco (5) primeros días calendario del mes</w:t>
            </w:r>
          </w:p>
        </w:tc>
      </w:tr>
      <w:tr w:rsidR="0067684B" w14:paraId="02AE3228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E60DB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Llamadas fuera del horario establecido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6A254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7163ACF6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E080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Llamadas en horario hábil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F82A4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5D2B47B1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F3BFA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Llamadas entrantes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C9ACB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092BDD21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4B5B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Llamadas abandonadas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9DE23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2990B72E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EEA7D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Llamadas contestadas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6C3C3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70109355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0210D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Llamadas atendidas dentro del nivel de servicio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0B22F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7B9E3200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1110D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Nivel de servicio 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EC3A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2D8D1D87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12E65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Nivel de abandono % máximo de 5%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DD766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4142017A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283BC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Tiempo promedio de abandono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485E8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51DCE0E2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F8A40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Llamadas salientes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7866D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5783781D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C1D6A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Tiempo promedio de conversación por asesor y general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20C8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073A2F4B" w14:textId="77777777" w:rsidTr="0067684B">
        <w:trPr>
          <w:trHeight w:val="159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3DA1B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Informe de Tipificación de llamadas: por tipo de usuario determinado por Bancóldex, ejemplo: empresario y dentro de </w:t>
            </w:r>
            <w:proofErr w:type="gramStart"/>
            <w:r>
              <w:rPr>
                <w:rFonts w:ascii="Calibri" w:hAnsi="Calibri" w:cs="Calibri"/>
                <w:color w:val="000000"/>
              </w:rPr>
              <w:t>ésta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clasificación segmentación de acuerdo a la de Bancóldex, intermediario financiero, gremio, entidad de apoyo, víctima del conflicto armado, etc.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33B63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43BFB23B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4FA0E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Velocidad promedio de llamada atendida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9D290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08628C59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6C0F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Ocupación Inbound 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F4122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540767DA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EE163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Ocupación Outbound 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96F81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3D2B4E29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7F4AE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Para qué llama cada tipo de usuario y para qué producto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292ED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6D7DFD89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26059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Informe de Reporte de preguntas frecuentes atendidas, las cuales deberán ser actualizadas permanentemente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0DEC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4553D96C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452B4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Llamadas de quejas y reclamos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58674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049CA8B2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8D070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Usuarios atendidos por puesto de trabajo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1281C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5FE45983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06525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Informe de Detalle de la gestión de asesoría de otros canales (correo electrónico, chat, videollamada, </w:t>
            </w:r>
            <w:proofErr w:type="spellStart"/>
            <w:r>
              <w:rPr>
                <w:rFonts w:ascii="Calibri" w:hAnsi="Calibri" w:cs="Calibri"/>
                <w:color w:val="000000"/>
              </w:rPr>
              <w:t>etc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503EC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09FAC3F8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ADC44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Detalle de la gestión de correos entrantes y salientes del buzón corporativo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10934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7990FE21" w14:textId="77777777" w:rsidTr="0067684B">
        <w:trPr>
          <w:trHeight w:val="190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CBDC8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Detalle de la gestión de correos masivos enviados desde la herramienta del contratista o la que defina el Banco. (</w:t>
            </w:r>
            <w:proofErr w:type="gramStart"/>
            <w:r>
              <w:rPr>
                <w:rFonts w:ascii="Calibri" w:hAnsi="Calibri" w:cs="Calibri"/>
                <w:color w:val="000000"/>
              </w:rPr>
              <w:t>comparativo envíos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por entidad financiera, envíos por grupos de interés, total correos enviados, total lecturas, total rebotes, total no leídos, todo los que consideren generan valor agregado al banco)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9A6CD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27D4CDDE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3B43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Detalle de la gestión Outbound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85C2C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650CAD88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A74DF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Informe de Detalle en la gestión de </w:t>
            </w:r>
            <w:proofErr w:type="gramStart"/>
            <w:r>
              <w:rPr>
                <w:rFonts w:ascii="Calibri" w:hAnsi="Calibri" w:cs="Calibri"/>
                <w:color w:val="000000"/>
              </w:rPr>
              <w:t>tickets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 escalamiento de casos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263D5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7E3340F3" w14:textId="77777777" w:rsidTr="0067684B">
        <w:trPr>
          <w:trHeight w:val="96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A1B5D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Informe de Indicador de rotación de personal: No. de funcionarios retirados en el año / No. promedio ponderado de puestos de trabajo ocupados durante el año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89A46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1036AB51" w14:textId="77777777" w:rsidTr="0067684B">
        <w:trPr>
          <w:trHeight w:val="127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F9C19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Informes de gestión mensual cualitativos de los comentarios positivos y negativos, que realicen los usuarios en la línea y tendencias y oportunidades de mejora en el servicio Bancóldex y sus patrimonios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41B42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3C6499FD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6EB1D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Detalle de llamadas ingresadas por línea Bogotá, líneas virtuales y línea nacional 018000.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68336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06EF9D69" w14:textId="77777777" w:rsidTr="0067684B">
        <w:trPr>
          <w:trHeight w:val="127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463E9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Informe de Detalle de llamadas de salida por destinos y tipo de telefonía al que se marcó, para poder corroborar con el proveedor de EL BANCO el costo de </w:t>
            </w:r>
            <w:proofErr w:type="gramStart"/>
            <w:r>
              <w:rPr>
                <w:rFonts w:ascii="Calibri" w:hAnsi="Calibri" w:cs="Calibri"/>
                <w:color w:val="000000"/>
              </w:rPr>
              <w:t>las mismas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y soportado en el detalle de tarificación de llamadas.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DC27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65906004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6856F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Reportes de IVR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C752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5FFF155A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6160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Capacidad instalada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49D9A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7C3FE840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319ED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Informes de efectividad por campaña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67915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3FBE90C4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DE659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Informes de efectividad por asesor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AAFE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0F75E629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4756A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Informe detallado de recursos desembolsados por campañas de oferta de crédito e invitación a eventos.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91E8D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5BC46EB3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B6BB1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Informe número de envíos masivos (Correo electrónico), total envíos, por grupo de interés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F3301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54060D4F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B1DB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Informes de calidad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ED676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49D3821D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9827F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Informe de Informes de </w:t>
            </w:r>
            <w:proofErr w:type="spellStart"/>
            <w:r>
              <w:rPr>
                <w:rFonts w:ascii="Calibri" w:hAnsi="Calibri" w:cs="Calibri"/>
                <w:color w:val="000000"/>
              </w:rPr>
              <w:t>speech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analytics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FF0BE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1CB74FE4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36B40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Informe de formación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527D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05CFDE49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0A66F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Informe de gestión comercial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DCA8A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63C175D4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F5B4F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Informe de Informe de cobranza cartera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E8F70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24F31978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2446C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Informe de ocupación por agente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7A71F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1711D119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4D5D4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Informe de tiempos muertos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BF990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354AA27F" w14:textId="77777777" w:rsidTr="0067684B">
        <w:trPr>
          <w:trHeight w:val="96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F6002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Copia de todas las grabaciones de las operaciones con los clientes, de todos los canales atendidos en formato WAV o MP3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301D9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  <w:tr w:rsidR="0067684B" w14:paraId="2DDC01D5" w14:textId="77777777" w:rsidTr="0067684B">
        <w:trPr>
          <w:trHeight w:val="6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8B29D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Informe de Cualquier otro informe y/o reporte que se requiera por EL BANCO.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8E7A8" w14:textId="77777777" w:rsidR="0067684B" w:rsidRDefault="006768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 vencido dentro de los cinco (5) primeros días calendario del mes</w:t>
            </w:r>
          </w:p>
        </w:tc>
      </w:tr>
    </w:tbl>
    <w:p w14:paraId="1C414AB8" w14:textId="1818A867" w:rsidR="127C2AE1" w:rsidRDefault="127C2AE1" w:rsidP="127C2AE1">
      <w:pPr>
        <w:pStyle w:val="Prrafodelista"/>
        <w:widowControl/>
        <w:tabs>
          <w:tab w:val="num" w:pos="567"/>
          <w:tab w:val="left" w:pos="1440"/>
        </w:tabs>
        <w:spacing w:line="240" w:lineRule="exact"/>
        <w:ind w:left="567" w:hanging="567"/>
        <w:jc w:val="both"/>
        <w:rPr>
          <w:rFonts w:ascii="Calibri" w:hAnsi="Calibri" w:cs="Tahoma"/>
        </w:rPr>
      </w:pPr>
    </w:p>
    <w:p w14:paraId="1A88862F" w14:textId="77777777" w:rsidR="0067684B" w:rsidRDefault="0067684B" w:rsidP="127C2AE1">
      <w:pPr>
        <w:pStyle w:val="Prrafodelista"/>
        <w:widowControl/>
        <w:tabs>
          <w:tab w:val="num" w:pos="567"/>
          <w:tab w:val="left" w:pos="1440"/>
        </w:tabs>
        <w:spacing w:line="240" w:lineRule="exact"/>
        <w:ind w:left="567" w:hanging="567"/>
        <w:jc w:val="both"/>
        <w:rPr>
          <w:rFonts w:ascii="Calibri" w:hAnsi="Calibri" w:cs="Tahoma"/>
        </w:rPr>
      </w:pPr>
    </w:p>
    <w:p w14:paraId="3C274040" w14:textId="77FFCBC6" w:rsidR="0067684B" w:rsidRDefault="00E773DF" w:rsidP="127C2AE1">
      <w:pPr>
        <w:pStyle w:val="Prrafodelista"/>
        <w:widowControl/>
        <w:tabs>
          <w:tab w:val="num" w:pos="567"/>
          <w:tab w:val="left" w:pos="1440"/>
        </w:tabs>
        <w:spacing w:line="240" w:lineRule="exact"/>
        <w:ind w:left="567" w:hanging="567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Nota: </w:t>
      </w:r>
      <w:r w:rsidR="00832755">
        <w:rPr>
          <w:rFonts w:ascii="Calibri" w:hAnsi="Calibri" w:cs="Tahoma"/>
        </w:rPr>
        <w:t xml:space="preserve">Adicional a los </w:t>
      </w:r>
      <w:r w:rsidR="0067684B">
        <w:rPr>
          <w:rFonts w:ascii="Calibri" w:hAnsi="Calibri" w:cs="Tahoma"/>
        </w:rPr>
        <w:t xml:space="preserve">informes que </w:t>
      </w:r>
      <w:r w:rsidR="00A56E61">
        <w:rPr>
          <w:rFonts w:ascii="Calibri" w:hAnsi="Calibri" w:cs="Tahoma"/>
        </w:rPr>
        <w:t>surjan</w:t>
      </w:r>
      <w:r w:rsidR="0067684B">
        <w:rPr>
          <w:rFonts w:ascii="Calibri" w:hAnsi="Calibri" w:cs="Tahoma"/>
        </w:rPr>
        <w:t xml:space="preserve"> en el </w:t>
      </w:r>
      <w:r w:rsidR="00A56E61">
        <w:rPr>
          <w:rFonts w:ascii="Calibri" w:hAnsi="Calibri" w:cs="Tahoma"/>
        </w:rPr>
        <w:t>desarrollo de la operación</w:t>
      </w:r>
      <w:r w:rsidR="00832755">
        <w:rPr>
          <w:rFonts w:ascii="Calibri" w:hAnsi="Calibri" w:cs="Tahoma"/>
        </w:rPr>
        <w:t>.</w:t>
      </w:r>
    </w:p>
    <w:p w14:paraId="78CB408B" w14:textId="77777777" w:rsidR="007D50A8" w:rsidRPr="00A31D2C" w:rsidRDefault="007D50A8" w:rsidP="007D50A8">
      <w:pPr>
        <w:pStyle w:val="Prrafodelista"/>
        <w:widowControl/>
        <w:suppressAutoHyphens/>
        <w:spacing w:line="240" w:lineRule="exact"/>
        <w:ind w:left="1287"/>
        <w:contextualSpacing w:val="0"/>
        <w:jc w:val="both"/>
        <w:rPr>
          <w:rFonts w:ascii="Calibri" w:hAnsi="Calibri" w:cs="Tahoma"/>
        </w:rPr>
      </w:pPr>
    </w:p>
    <w:p w14:paraId="778B6424" w14:textId="77777777" w:rsidR="00BF254A" w:rsidRDefault="00BF254A"/>
    <w:sectPr w:rsidR="00BF254A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uan Esteban Salas Torres" w:date="2024-02-21T17:25:00Z" w:initials="JT">
    <w:p w14:paraId="3092C21A" w14:textId="6B7AC868" w:rsidR="6CC8A49B" w:rsidRDefault="6CC8A49B">
      <w:r>
        <w:rPr>
          <w:color w:val="2B579A"/>
          <w:shd w:val="clear" w:color="auto" w:fill="E6E6E6"/>
        </w:rPr>
        <w:fldChar w:fldCharType="begin"/>
      </w:r>
      <w:r>
        <w:instrText xml:space="preserve"> HYPERLINK "mailto:YPR0000@bancoldex.com"</w:instrText>
      </w:r>
      <w:r>
        <w:rPr>
          <w:color w:val="2B579A"/>
          <w:shd w:val="clear" w:color="auto" w:fill="E6E6E6"/>
        </w:rPr>
      </w:r>
      <w:bookmarkStart w:id="1" w:name="_@_2249AB2DA09140EF9FBA4B7CB0FC3CE9Z"/>
      <w:r>
        <w:rPr>
          <w:color w:val="2B579A"/>
          <w:shd w:val="clear" w:color="auto" w:fill="E6E6E6"/>
        </w:rPr>
        <w:fldChar w:fldCharType="separate"/>
      </w:r>
      <w:bookmarkEnd w:id="1"/>
      <w:r w:rsidRPr="6CC8A49B">
        <w:rPr>
          <w:rStyle w:val="Mencionar"/>
          <w:noProof/>
        </w:rPr>
        <w:t>@Yuri Astrid Palacios Rusinque</w:t>
      </w:r>
      <w:r>
        <w:rPr>
          <w:color w:val="2B579A"/>
          <w:shd w:val="clear" w:color="auto" w:fill="E6E6E6"/>
        </w:rPr>
        <w:fldChar w:fldCharType="end"/>
      </w:r>
      <w:r>
        <w:t xml:space="preserve">  Incluir la periodicidad de entrega de cada uno de los informes. en una tabla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92C21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E68606" w16cex:dateUtc="2024-02-21T2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92C21A" w16cid:durableId="6FE686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7451" w14:textId="77777777" w:rsidR="003B7EDC" w:rsidRDefault="003B7EDC" w:rsidP="007D50A8">
      <w:r>
        <w:separator/>
      </w:r>
    </w:p>
  </w:endnote>
  <w:endnote w:type="continuationSeparator" w:id="0">
    <w:p w14:paraId="5461EDAC" w14:textId="77777777" w:rsidR="003B7EDC" w:rsidRDefault="003B7EDC" w:rsidP="007D50A8">
      <w:r>
        <w:continuationSeparator/>
      </w:r>
    </w:p>
  </w:endnote>
  <w:endnote w:type="continuationNotice" w:id="1">
    <w:p w14:paraId="164CD957" w14:textId="77777777" w:rsidR="003B7EDC" w:rsidRDefault="003B7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4A52" w14:textId="77777777" w:rsidR="003B7EDC" w:rsidRDefault="003B7EDC" w:rsidP="007D50A8">
      <w:r>
        <w:separator/>
      </w:r>
    </w:p>
  </w:footnote>
  <w:footnote w:type="continuationSeparator" w:id="0">
    <w:p w14:paraId="28E3924F" w14:textId="77777777" w:rsidR="003B7EDC" w:rsidRDefault="003B7EDC" w:rsidP="007D50A8">
      <w:r>
        <w:continuationSeparator/>
      </w:r>
    </w:p>
  </w:footnote>
  <w:footnote w:type="continuationNotice" w:id="1">
    <w:p w14:paraId="272463A7" w14:textId="77777777" w:rsidR="003B7EDC" w:rsidRDefault="003B7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2627" w14:textId="7527E5FA" w:rsidR="007D50A8" w:rsidRDefault="007D50A8">
    <w:pPr>
      <w:pStyle w:val="Encabezado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04C0DD4C" wp14:editId="3E0EB3AD">
          <wp:simplePos x="0" y="0"/>
          <wp:positionH relativeFrom="margin">
            <wp:posOffset>-295275</wp:posOffset>
          </wp:positionH>
          <wp:positionV relativeFrom="paragraph">
            <wp:posOffset>5080</wp:posOffset>
          </wp:positionV>
          <wp:extent cx="4076700" cy="1095375"/>
          <wp:effectExtent l="0" t="0" r="0" b="9525"/>
          <wp:wrapSquare wrapText="bothSides"/>
          <wp:docPr id="13270690" name="Picture 1327069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0690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1" t="27083" r="3324" b="25000"/>
                  <a:stretch/>
                </pic:blipFill>
                <pic:spPr bwMode="auto">
                  <a:xfrm>
                    <a:off x="0" y="0"/>
                    <a:ext cx="4076700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649814" w14:textId="3BD4B841" w:rsidR="007D50A8" w:rsidRDefault="007D50A8">
    <w:pPr>
      <w:pStyle w:val="Encabezado"/>
    </w:pPr>
  </w:p>
  <w:p w14:paraId="26A69135" w14:textId="2CCDC067" w:rsidR="007D50A8" w:rsidRDefault="007D50A8">
    <w:pPr>
      <w:pStyle w:val="Encabezado"/>
    </w:pPr>
  </w:p>
  <w:p w14:paraId="06281E54" w14:textId="77777777" w:rsidR="007D50A8" w:rsidRDefault="007D50A8">
    <w:pPr>
      <w:pStyle w:val="Encabezado"/>
    </w:pPr>
  </w:p>
  <w:p w14:paraId="0AF7A846" w14:textId="7598775B" w:rsidR="007D50A8" w:rsidRDefault="007D50A8" w:rsidP="007D50A8">
    <w:pPr>
      <w:pStyle w:val="Encabezado"/>
      <w:tabs>
        <w:tab w:val="clear" w:pos="4419"/>
        <w:tab w:val="clear" w:pos="8838"/>
        <w:tab w:val="left" w:pos="975"/>
      </w:tabs>
    </w:pPr>
    <w:r>
      <w:tab/>
    </w:r>
  </w:p>
  <w:p w14:paraId="31DD4F6F" w14:textId="77777777" w:rsidR="007D50A8" w:rsidRDefault="007D50A8">
    <w:pPr>
      <w:pStyle w:val="Encabezado"/>
    </w:pPr>
  </w:p>
  <w:p w14:paraId="4E3087FC" w14:textId="77777777" w:rsidR="007D50A8" w:rsidRDefault="007D50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743FF"/>
    <w:multiLevelType w:val="multilevel"/>
    <w:tmpl w:val="85243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lvlText w:val="%3."/>
      <w:lvlJc w:val="left"/>
      <w:pPr>
        <w:tabs>
          <w:tab w:val="num" w:pos="862"/>
        </w:tabs>
        <w:ind w:left="86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061"/>
        </w:tabs>
        <w:ind w:left="2061" w:hanging="1080"/>
      </w:p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042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609"/>
        </w:tabs>
        <w:ind w:left="36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816"/>
        </w:tabs>
        <w:ind w:left="3816" w:hanging="1800"/>
      </w:pPr>
    </w:lvl>
  </w:abstractNum>
  <w:abstractNum w:abstractNumId="1" w15:restartNumberingAfterBreak="0">
    <w:nsid w:val="6134662A"/>
    <w:multiLevelType w:val="singleLevel"/>
    <w:tmpl w:val="AB405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 w16cid:durableId="1728528420">
    <w:abstractNumId w:val="1"/>
  </w:num>
  <w:num w:numId="2" w16cid:durableId="15523814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an Esteban Salas Torres">
    <w15:presenceInfo w15:providerId="AD" w15:userId="S::jst0000@bancoldex.com::cdcb97f0-1c08-4da6-864a-d18ea1940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A8"/>
    <w:rsid w:val="00063451"/>
    <w:rsid w:val="001152E1"/>
    <w:rsid w:val="0017710E"/>
    <w:rsid w:val="002125BE"/>
    <w:rsid w:val="002D6CF3"/>
    <w:rsid w:val="00351C29"/>
    <w:rsid w:val="003A538F"/>
    <w:rsid w:val="003B7EDC"/>
    <w:rsid w:val="0067684B"/>
    <w:rsid w:val="00742C9C"/>
    <w:rsid w:val="007D50A8"/>
    <w:rsid w:val="00832755"/>
    <w:rsid w:val="008727AE"/>
    <w:rsid w:val="008F1C3C"/>
    <w:rsid w:val="00A56E61"/>
    <w:rsid w:val="00B33FFE"/>
    <w:rsid w:val="00B47FE4"/>
    <w:rsid w:val="00B93689"/>
    <w:rsid w:val="00BE41F1"/>
    <w:rsid w:val="00BF254A"/>
    <w:rsid w:val="00E773DF"/>
    <w:rsid w:val="05706400"/>
    <w:rsid w:val="127C2AE1"/>
    <w:rsid w:val="2CD60A71"/>
    <w:rsid w:val="3B8E8492"/>
    <w:rsid w:val="3C0ADCDA"/>
    <w:rsid w:val="5748149D"/>
    <w:rsid w:val="6CC8A49B"/>
    <w:rsid w:val="7768C253"/>
    <w:rsid w:val="79468DBA"/>
    <w:rsid w:val="7A9A2AA4"/>
    <w:rsid w:val="7F9D8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12F30C"/>
  <w15:chartTrackingRefBased/>
  <w15:docId w15:val="{4EE738AA-3A36-4966-827D-5D98C496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50A8"/>
    <w:pPr>
      <w:widowControl w:val="0"/>
      <w:ind w:left="720"/>
      <w:contextualSpacing/>
    </w:pPr>
    <w:rPr>
      <w:rFonts w:ascii="Century Gothic" w:hAnsi="Century Gothic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D50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50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D50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0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concuadrcula">
    <w:name w:val="Table Grid"/>
    <w:basedOn w:val="Tablanormal"/>
    <w:uiPriority w:val="39"/>
    <w:rsid w:val="0035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B48FBD47-924B-468C-A307-5066649114EB}">
    <t:Anchor>
      <t:Comment id="1877378566"/>
    </t:Anchor>
    <t:History>
      <t:Event id="{40D6CEE4-5458-4668-8165-91006AFA1380}" time="2024-02-21T22:25:48.736Z">
        <t:Attribution userId="S::jst0000@bancoldex.com::cdcb97f0-1c08-4da6-864a-d18ea19409d7" userProvider="AD" userName="Juan Esteban Salas Torres"/>
        <t:Anchor>
          <t:Comment id="1877378566"/>
        </t:Anchor>
        <t:Create/>
      </t:Event>
      <t:Event id="{FE8AA8A0-40BF-4DC3-B807-7FE3719ED677}" time="2024-02-21T22:25:48.736Z">
        <t:Attribution userId="S::jst0000@bancoldex.com::cdcb97f0-1c08-4da6-864a-d18ea19409d7" userProvider="AD" userName="Juan Esteban Salas Torres"/>
        <t:Anchor>
          <t:Comment id="1877378566"/>
        </t:Anchor>
        <t:Assign userId="S::YPR0000@bancoldex.com::59c7d40f-b69d-496b-a520-349e2626de6a" userProvider="AD" userName="Yuri Astrid Palacios Rusinque"/>
      </t:Event>
      <t:Event id="{6B72696E-91D4-495B-B8BC-26C98274D51F}" time="2024-02-21T22:25:48.736Z">
        <t:Attribution userId="S::jst0000@bancoldex.com::cdcb97f0-1c08-4da6-864a-d18ea19409d7" userProvider="AD" userName="Juan Esteban Salas Torres"/>
        <t:Anchor>
          <t:Comment id="1877378566"/>
        </t:Anchor>
        <t:SetTitle title="@Yuri Astrid Palacios Rusinque Incluir la periodicidad de entrega de cada uno de los informes. en una tabla"/>
      </t:Event>
      <t:Event id="{9517EE9A-414B-4F9A-A99B-E6CED94CD3B2}" time="2024-02-22T14:50:10.158Z">
        <t:Attribution userId="S::ypr0000@bancoldex.com::59c7d40f-b69d-496b-a520-349e2626de6a" userProvider="AD" userName="Yuri Astrid Palacios Rusinque"/>
        <t:Progress percentComplete="100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9f9357-77b0-4237-9c0c-498689d803ce">
      <Terms xmlns="http://schemas.microsoft.com/office/infopath/2007/PartnerControls"/>
    </lcf76f155ced4ddcb4097134ff3c332f>
    <TaxCatchAll xmlns="3310208a-e226-40ae-ab4b-c04b16474df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4D31DCAE00B84D99FDE30DDE2BC886" ma:contentTypeVersion="16" ma:contentTypeDescription="Crear nuevo documento." ma:contentTypeScope="" ma:versionID="fa55d08a1c9c7d8705a4d8be4fe7c8e7">
  <xsd:schema xmlns:xsd="http://www.w3.org/2001/XMLSchema" xmlns:xs="http://www.w3.org/2001/XMLSchema" xmlns:p="http://schemas.microsoft.com/office/2006/metadata/properties" xmlns:ns1="http://schemas.microsoft.com/sharepoint/v3" xmlns:ns2="799f9357-77b0-4237-9c0c-498689d803ce" xmlns:ns3="3310208a-e226-40ae-ab4b-c04b16474df7" xmlns:ns4="0d4faa01-6cdc-41b5-acc6-f34afddc656e" targetNamespace="http://schemas.microsoft.com/office/2006/metadata/properties" ma:root="true" ma:fieldsID="244fc20d6eb70f4cde8b244a368fa74f" ns1:_="" ns2:_="" ns3:_="" ns4:_="">
    <xsd:import namespace="http://schemas.microsoft.com/sharepoint/v3"/>
    <xsd:import namespace="799f9357-77b0-4237-9c0c-498689d803ce"/>
    <xsd:import namespace="3310208a-e226-40ae-ab4b-c04b16474df7"/>
    <xsd:import namespace="0d4faa01-6cdc-41b5-acc6-f34afddc656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f9357-77b0-4237-9c0c-498689d80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0208a-e226-40ae-ab4b-c04b16474d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ía" ma:hidden="true" ma:list="{c3ddb72e-22d6-4dc7-b6c2-91a8dd054212}" ma:internalName="TaxCatchAll" ma:showField="CatchAllData" ma:web="3310208a-e226-40ae-ab4b-c04b16474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faa01-6cdc-41b5-acc6-f34afddc656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BDED9-F318-425F-9398-15C65FC5EB81}">
  <ds:schemaRefs>
    <ds:schemaRef ds:uri="http://schemas.microsoft.com/office/2006/metadata/properties"/>
    <ds:schemaRef ds:uri="http://schemas.microsoft.com/office/infopath/2007/PartnerControls"/>
    <ds:schemaRef ds:uri="799f9357-77b0-4237-9c0c-498689d803ce"/>
    <ds:schemaRef ds:uri="3310208a-e226-40ae-ab4b-c04b16474df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C958BCB-5D9C-45C1-990D-AB0A1AB3F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B7CE4-B867-4D3A-9B80-0A9B34809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9f9357-77b0-4237-9c0c-498689d803ce"/>
    <ds:schemaRef ds:uri="3310208a-e226-40ae-ab4b-c04b16474df7"/>
    <ds:schemaRef ds:uri="0d4faa01-6cdc-41b5-acc6-f34afddc6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Astrid Palacios Rusinque</dc:creator>
  <cp:keywords/>
  <dc:description/>
  <cp:lastModifiedBy>Alexander Torres Pantoja</cp:lastModifiedBy>
  <cp:revision>17</cp:revision>
  <dcterms:created xsi:type="dcterms:W3CDTF">2024-01-12T19:26:00Z</dcterms:created>
  <dcterms:modified xsi:type="dcterms:W3CDTF">2024-02-23T16:20:00Z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0x010100F74D31DCAE00B84D99FDE30DDE2BC886</vt:lpwstr>
  </property>
  <property fmtid="{D5CDD505-2E9C-101B-9397-08002B2CF9AE}" pid="3" name="MediaServiceImageTags">
    <vt:lpwstr/>
  </property>
</Properties>
</file>