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2A28" w14:textId="77777777" w:rsidR="00984229" w:rsidRPr="00AF1B64" w:rsidRDefault="00984229" w:rsidP="0098422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C29789A" w14:textId="77777777" w:rsidR="00CF5FA8" w:rsidRPr="00CF5FA8" w:rsidRDefault="00CF5FA8" w:rsidP="00CF5FA8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2E046BB6" w14:textId="58BEB1E1" w:rsidR="00CF5FA8" w:rsidRPr="00AF1B64" w:rsidRDefault="00CF5FA8" w:rsidP="00CF5FA8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CF5FA8">
        <w:rPr>
          <w:rFonts w:cstheme="minorHAnsi"/>
          <w:b/>
          <w:bCs/>
          <w:color w:val="000000"/>
          <w:sz w:val="22"/>
          <w:szCs w:val="22"/>
        </w:rPr>
        <w:t xml:space="preserve">ANEXO </w:t>
      </w:r>
      <w:r w:rsidR="00BB14A8">
        <w:rPr>
          <w:rFonts w:cstheme="minorHAnsi"/>
          <w:b/>
          <w:bCs/>
          <w:color w:val="000000"/>
          <w:sz w:val="22"/>
          <w:szCs w:val="22"/>
        </w:rPr>
        <w:t>7</w:t>
      </w:r>
      <w:r w:rsidRPr="00CF5FA8">
        <w:rPr>
          <w:rFonts w:cstheme="minorHAnsi"/>
          <w:b/>
          <w:bCs/>
          <w:color w:val="000000"/>
          <w:sz w:val="22"/>
          <w:szCs w:val="22"/>
        </w:rPr>
        <w:t xml:space="preserve"> GLOSARIO</w:t>
      </w:r>
    </w:p>
    <w:p w14:paraId="58859049" w14:textId="77777777" w:rsidR="00CF5FA8" w:rsidRPr="00CF5FA8" w:rsidRDefault="00CF5FA8" w:rsidP="00CF5FA8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7AA4EEB2" w14:textId="3507114E" w:rsidR="00CF5FA8" w:rsidRPr="00AF1B64" w:rsidRDefault="00CF5FA8" w:rsidP="00BB14A8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CF5FA8">
        <w:rPr>
          <w:rFonts w:cstheme="minorHAnsi"/>
          <w:color w:val="000000"/>
          <w:sz w:val="22"/>
          <w:szCs w:val="22"/>
        </w:rPr>
        <w:t xml:space="preserve">De conformidad con el artículo 1.2.2.2.2.4.7 de la </w:t>
      </w:r>
      <w:r w:rsidR="005576E4" w:rsidRPr="009B51B1">
        <w:rPr>
          <w:rFonts w:cstheme="minorHAnsi"/>
          <w:sz w:val="22"/>
          <w:szCs w:val="22"/>
        </w:rPr>
        <w:t xml:space="preserve">de la </w:t>
      </w:r>
      <w:r w:rsidR="005576E4" w:rsidRPr="00DC20E2">
        <w:rPr>
          <w:rFonts w:cs="Arial"/>
          <w:sz w:val="22"/>
          <w:szCs w:val="22"/>
        </w:rPr>
        <w:t xml:space="preserve">de la </w:t>
      </w:r>
      <w:r w:rsidR="005576E4" w:rsidRPr="0040140B">
        <w:rPr>
          <w:rFonts w:cs="Arial"/>
          <w:sz w:val="22"/>
          <w:szCs w:val="22"/>
        </w:rPr>
        <w:t>Circular Básica Jurídica Parte I, Título III, Capítulo I de la Superintendencia Financiera de Colombia</w:t>
      </w:r>
      <w:r w:rsidRPr="00CF5FA8">
        <w:rPr>
          <w:rFonts w:cstheme="minorHAnsi"/>
          <w:color w:val="000000"/>
          <w:sz w:val="22"/>
          <w:szCs w:val="22"/>
        </w:rPr>
        <w:t xml:space="preserve">, se incluye un glosario de términos utilizados en el pliego de condiciones: </w:t>
      </w:r>
    </w:p>
    <w:p w14:paraId="0B2D5BF4" w14:textId="77777777" w:rsidR="00CF5FA8" w:rsidRPr="00CF5FA8" w:rsidRDefault="00CF5FA8" w:rsidP="00CF5FA8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F959E36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Adenda</w:t>
      </w:r>
      <w:r w:rsidRPr="00AF1B64">
        <w:rPr>
          <w:rFonts w:cstheme="minorHAnsi"/>
          <w:sz w:val="22"/>
          <w:szCs w:val="22"/>
        </w:rPr>
        <w:t>: Documento mediante el cual el Banco modificará el pliego de condiciones de la presente licitación</w:t>
      </w:r>
    </w:p>
    <w:p w14:paraId="14D5F42B" w14:textId="77777777" w:rsidR="00CF5FA8" w:rsidRPr="00AF1B64" w:rsidRDefault="00CF5FA8" w:rsidP="005576E4">
      <w:pPr>
        <w:spacing w:after="4" w:line="242" w:lineRule="auto"/>
        <w:ind w:left="368"/>
        <w:jc w:val="both"/>
        <w:rPr>
          <w:rFonts w:cstheme="minorHAnsi"/>
          <w:sz w:val="22"/>
          <w:szCs w:val="22"/>
        </w:rPr>
      </w:pPr>
    </w:p>
    <w:p w14:paraId="39E35429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Licitación: </w:t>
      </w:r>
      <w:r w:rsidRPr="00AF1B64">
        <w:rPr>
          <w:rFonts w:cstheme="minorHAnsi"/>
          <w:sz w:val="22"/>
          <w:szCs w:val="22"/>
        </w:rPr>
        <w:t xml:space="preserve">Es el proceso por medio del cual se seleccionará a la(s) aseguradora(s) y se adjudicará el contrato de seguro para los seguros relacionados en el presente documento. </w:t>
      </w:r>
    </w:p>
    <w:p w14:paraId="61207ADD" w14:textId="77777777" w:rsidR="00CF5FA8" w:rsidRPr="00AF1B64" w:rsidRDefault="00CF5FA8" w:rsidP="005576E4">
      <w:pPr>
        <w:ind w:left="736"/>
        <w:jc w:val="both"/>
        <w:rPr>
          <w:rFonts w:cstheme="minorHAnsi"/>
          <w:sz w:val="22"/>
          <w:szCs w:val="22"/>
        </w:rPr>
      </w:pPr>
    </w:p>
    <w:p w14:paraId="3616658D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Seguro:</w:t>
      </w:r>
      <w:r w:rsidRPr="00AF1B64">
        <w:rPr>
          <w:rFonts w:cstheme="minorHAnsi"/>
          <w:sz w:val="22"/>
          <w:szCs w:val="22"/>
        </w:rPr>
        <w:t xml:space="preserve"> Contrato en virtud del cual una persona jurídica llamada asegurador, asume, a cambio de una prima, un riesgo que le es trasladado por una persona natural o jurídica llamado tomador y en el cual éste tiene un interés asegurable, con el fin de indemnizarlo, en el evento de que ocurra la realización del riesgo previsible. </w:t>
      </w:r>
    </w:p>
    <w:p w14:paraId="14428FF7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5899C3FB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Póliza:</w:t>
      </w:r>
      <w:r w:rsidRPr="00AF1B64">
        <w:rPr>
          <w:rFonts w:cstheme="minorHAnsi"/>
          <w:sz w:val="22"/>
          <w:szCs w:val="22"/>
        </w:rPr>
        <w:t xml:space="preserve"> Es el documento contentivo del contrato de seguro y que sirve como prueba de la existencia del mismo. </w:t>
      </w:r>
    </w:p>
    <w:p w14:paraId="1E005871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0E4D9BE1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Riesgo:</w:t>
      </w:r>
      <w:r w:rsidRPr="00AF1B64">
        <w:rPr>
          <w:rFonts w:cstheme="minorHAnsi"/>
          <w:sz w:val="22"/>
          <w:szCs w:val="22"/>
        </w:rPr>
        <w:t xml:space="preserve"> Suceso incierto que no depende exclusivamente, de la voluntad del tomador, del asegurado o del beneficiario, y cuya realización da origen a la obligación del asegurador. </w:t>
      </w:r>
    </w:p>
    <w:p w14:paraId="5261BC63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b/>
          <w:bCs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 </w:t>
      </w:r>
    </w:p>
    <w:p w14:paraId="0A84FDE8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Deducible:</w:t>
      </w:r>
      <w:r w:rsidRPr="00AF1B64">
        <w:rPr>
          <w:rFonts w:cstheme="minorHAnsi"/>
          <w:sz w:val="22"/>
          <w:szCs w:val="22"/>
        </w:rPr>
        <w:t xml:space="preserve"> Es el monto o porcentaje del daño indemnizable que variablemente se deduce del pago de la indemnización y que, por lo tanto, siempre queda a cargo del asegurado. </w:t>
      </w:r>
    </w:p>
    <w:p w14:paraId="2B0D5BE3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3A8AEC8E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Prima:</w:t>
      </w:r>
      <w:r w:rsidRPr="00AF1B64">
        <w:rPr>
          <w:rFonts w:cstheme="minorHAnsi"/>
          <w:sz w:val="22"/>
          <w:szCs w:val="22"/>
        </w:rPr>
        <w:t xml:space="preserve"> Es el costo o precio del seguro, que el tomador se obliga a pagar. </w:t>
      </w:r>
    </w:p>
    <w:p w14:paraId="7EA1DC4C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228D5236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Valor Asegurado:</w:t>
      </w:r>
      <w:r w:rsidRPr="00AF1B64">
        <w:rPr>
          <w:rFonts w:cstheme="minorHAnsi"/>
          <w:sz w:val="22"/>
          <w:szCs w:val="22"/>
        </w:rPr>
        <w:t xml:space="preserve"> Es el monto que determina la responsabilidad máxima de asegurador en caso de realizarse un siniestro amparado por la Póliza. </w:t>
      </w:r>
    </w:p>
    <w:p w14:paraId="2297AC2C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2FB4E38F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Exclusiones:</w:t>
      </w:r>
      <w:r w:rsidRPr="00AF1B64">
        <w:rPr>
          <w:rFonts w:cstheme="minorHAnsi"/>
          <w:sz w:val="22"/>
          <w:szCs w:val="22"/>
        </w:rPr>
        <w:t xml:space="preserve"> Son los riesgos o eventos que no se amparan en el seguro. </w:t>
      </w:r>
    </w:p>
    <w:p w14:paraId="498ABB0B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6A366385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Adjudicación: </w:t>
      </w:r>
      <w:r w:rsidRPr="00AF1B64">
        <w:rPr>
          <w:rFonts w:cstheme="minorHAnsi"/>
          <w:sz w:val="22"/>
          <w:szCs w:val="22"/>
        </w:rPr>
        <w:t xml:space="preserve">Es la etapa de la licitación en la cual se selecciona a la aseguradora(s) que presente(n) la mejor postura con relación al precio (tasa) de la prima de seguros mensual, incluido el IVA si hubiere lugar a ello, expresada en porcentaje del monto asegurado de los riesgos que se licitan, la cual se denominará Aseguradora(s) Adjudicada(s). </w:t>
      </w:r>
    </w:p>
    <w:p w14:paraId="4394CCF1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</w:p>
    <w:p w14:paraId="3E871B68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Base de Datos: </w:t>
      </w:r>
      <w:r w:rsidRPr="00AF1B64">
        <w:rPr>
          <w:rFonts w:cstheme="minorHAnsi"/>
          <w:sz w:val="22"/>
          <w:szCs w:val="22"/>
        </w:rPr>
        <w:t xml:space="preserve">Conjunto organizado de datos personales de deudores del BANCO asociados a créditos con garantía hipotecaria. Así mismo, comprende el listado organizado de bienes inmuebles </w:t>
      </w:r>
      <w:r w:rsidRPr="00AF1B64">
        <w:rPr>
          <w:rFonts w:cstheme="minorHAnsi"/>
          <w:sz w:val="22"/>
          <w:szCs w:val="22"/>
        </w:rPr>
        <w:lastRenderedPageBreak/>
        <w:t>asociados a créditos con garantía hipotecaria, leasing habitacional y demás líneas de crédito que otorga el BANCO.</w:t>
      </w:r>
    </w:p>
    <w:p w14:paraId="60334729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</w:p>
    <w:p w14:paraId="2A3DDCB1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Contrato: </w:t>
      </w:r>
      <w:r w:rsidRPr="00AF1B64">
        <w:rPr>
          <w:rFonts w:cstheme="minorHAnsi"/>
          <w:sz w:val="22"/>
          <w:szCs w:val="22"/>
        </w:rPr>
        <w:t xml:space="preserve">Es la(s) póliza(s) de Seguro de Grupo Vida Deudores, Incendio y Terremoto Deudores, incluidos los asociados a créditos con garantía hipotecaria o leasing habitacional, y los Seguros de Vehículos Deudores, Maquinaria y Equipo Deudores y Todo Riesgo Daño Material Deudores, asociados a garantías prendarias, que la(s) Aseguradora(s) Adjudicada(s) expidan sin necesidad de suscripción de contrato alguno. </w:t>
      </w:r>
    </w:p>
    <w:p w14:paraId="22484240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492263D2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Dato Personal: </w:t>
      </w:r>
      <w:r w:rsidRPr="00AF1B64">
        <w:rPr>
          <w:rFonts w:cstheme="minorHAnsi"/>
          <w:sz w:val="22"/>
          <w:szCs w:val="22"/>
        </w:rPr>
        <w:t xml:space="preserve">Cualquier información vinculada o que pueda asociarse a una o varios deudores determinados o determinables, en relación con lo establecido en la Ley 1581 de 2012 y sus decretos reglamentarios. </w:t>
      </w:r>
    </w:p>
    <w:p w14:paraId="475C4F92" w14:textId="77777777" w:rsidR="00CF5FA8" w:rsidRPr="00AF1B64" w:rsidRDefault="00CF5FA8" w:rsidP="005576E4">
      <w:pPr>
        <w:spacing w:line="252" w:lineRule="auto"/>
        <w:ind w:left="28"/>
        <w:jc w:val="both"/>
        <w:rPr>
          <w:rFonts w:cstheme="minorHAnsi"/>
          <w:sz w:val="22"/>
          <w:szCs w:val="22"/>
        </w:rPr>
      </w:pPr>
    </w:p>
    <w:p w14:paraId="3B657D8A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Documentos de Reclamación: </w:t>
      </w:r>
      <w:r w:rsidRPr="00AF1B64">
        <w:rPr>
          <w:rFonts w:cstheme="minorHAnsi"/>
          <w:sz w:val="22"/>
          <w:szCs w:val="22"/>
        </w:rPr>
        <w:t xml:space="preserve">Son aquellos soportes que el deudor y el BANCO deben adjuntar a la reclamación, para soportar la ocurrencia y la cuantía del siniestro. </w:t>
      </w:r>
    </w:p>
    <w:p w14:paraId="3F8DE762" w14:textId="77777777" w:rsidR="00CF5FA8" w:rsidRPr="00AF1B64" w:rsidRDefault="00CF5FA8" w:rsidP="005576E4">
      <w:pPr>
        <w:jc w:val="both"/>
        <w:rPr>
          <w:rFonts w:cstheme="minorHAnsi"/>
          <w:b/>
          <w:bCs/>
          <w:sz w:val="22"/>
          <w:szCs w:val="22"/>
        </w:rPr>
      </w:pPr>
    </w:p>
    <w:p w14:paraId="41F262AF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Nota de cobertura: </w:t>
      </w:r>
      <w:r w:rsidRPr="00AF1B64">
        <w:rPr>
          <w:rFonts w:cstheme="minorHAnsi"/>
          <w:sz w:val="22"/>
          <w:szCs w:val="22"/>
        </w:rPr>
        <w:t xml:space="preserve">Documento provisional emitido por la(s) aseguradora(s) adjudicataria(s) del presente proceso, donde se consigna la confirmación de cobertura acorde con lo establecido en el pliego de condiciones y la oferta y vigente hasta la expedición de la póliza. </w:t>
      </w:r>
    </w:p>
    <w:p w14:paraId="0AC0A360" w14:textId="77777777" w:rsidR="00CF5FA8" w:rsidRPr="00AF1B64" w:rsidRDefault="00CF5FA8" w:rsidP="005576E4">
      <w:pPr>
        <w:spacing w:line="252" w:lineRule="auto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color w:val="E36C0A"/>
          <w:sz w:val="22"/>
          <w:szCs w:val="22"/>
        </w:rPr>
        <w:t> </w:t>
      </w:r>
    </w:p>
    <w:p w14:paraId="1B485E83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Pliego: </w:t>
      </w:r>
      <w:r w:rsidRPr="00AF1B64">
        <w:rPr>
          <w:rFonts w:cstheme="minorHAnsi"/>
          <w:sz w:val="22"/>
          <w:szCs w:val="22"/>
        </w:rPr>
        <w:t xml:space="preserve">Es el documento mediante el cual se reglamentan los términos y condiciones de la presente licitación. </w:t>
      </w:r>
    </w:p>
    <w:p w14:paraId="425E89C0" w14:textId="77777777" w:rsidR="00CF5FA8" w:rsidRPr="00AF1B64" w:rsidRDefault="00CF5FA8" w:rsidP="005576E4">
      <w:pPr>
        <w:jc w:val="both"/>
        <w:rPr>
          <w:rFonts w:cstheme="minorHAnsi"/>
          <w:b/>
          <w:bCs/>
          <w:sz w:val="22"/>
          <w:szCs w:val="22"/>
        </w:rPr>
      </w:pPr>
    </w:p>
    <w:p w14:paraId="3FD77380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Postura: </w:t>
      </w:r>
      <w:r w:rsidRPr="00AF1B64">
        <w:rPr>
          <w:rFonts w:cstheme="minorHAnsi"/>
          <w:sz w:val="22"/>
          <w:szCs w:val="22"/>
        </w:rPr>
        <w:t xml:space="preserve">Es la presentación de los requisitos de admisibilidad y de la oferta económica que efectúa(n) la(s) aseguradora(s) en el marco de la presente licitación. </w:t>
      </w:r>
    </w:p>
    <w:p w14:paraId="4776CCCB" w14:textId="77777777" w:rsidR="00CF5FA8" w:rsidRPr="00AF1B64" w:rsidRDefault="00CF5FA8" w:rsidP="005576E4">
      <w:pPr>
        <w:jc w:val="both"/>
        <w:rPr>
          <w:rFonts w:cstheme="minorHAnsi"/>
          <w:b/>
          <w:bCs/>
          <w:sz w:val="22"/>
          <w:szCs w:val="22"/>
        </w:rPr>
      </w:pPr>
    </w:p>
    <w:p w14:paraId="339B52AD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Requisitos de Admisibilidad Básicos: </w:t>
      </w:r>
      <w:r w:rsidRPr="00AF1B64">
        <w:rPr>
          <w:rFonts w:cstheme="minorHAnsi"/>
          <w:sz w:val="22"/>
          <w:szCs w:val="22"/>
        </w:rPr>
        <w:t xml:space="preserve">Son los requisitos previstos en este pliego de condiciones que deben cumplir las aseguradoras en virtud de lo señalado por el Estatuto Orgánico del Sistema Financiero y los Decretos 2555 de 2010,  673 de 2014 y 1534 de 2016, así como las circulares externas 022 del 30 de julio de 2014, 029 de octubre de 2014, 048 de noviembre de 2016 y 003 de febrero de 2017 de la Superintendencia Financiera de Colombia y demás normas que los reglamenten, adicionen o modifiquen. De no cumplir o acreditar el cumplimiento de dichos requisitos en las fechas y oportunidades definidos expresamente para el efecto, la(s) aseguradora(s) será(n) rechazada(s) de plano y no podrá(n) participar en la licitación. </w:t>
      </w:r>
    </w:p>
    <w:p w14:paraId="68BF82E6" w14:textId="77777777" w:rsidR="00CF5FA8" w:rsidRPr="00AF1B64" w:rsidRDefault="00CF5FA8" w:rsidP="005576E4">
      <w:pPr>
        <w:spacing w:line="252" w:lineRule="auto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160D9968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>Riesgo:</w:t>
      </w:r>
      <w:r w:rsidRPr="00AF1B64">
        <w:rPr>
          <w:rFonts w:cstheme="minorHAnsi"/>
          <w:sz w:val="22"/>
          <w:szCs w:val="22"/>
        </w:rPr>
        <w:t xml:space="preserve"> Suceso incierto que no depende exclusivamente, de la voluntad del tomador, del asegurado o del beneficiario, y cuya realización da origen a la obligación del asegurador. </w:t>
      </w:r>
    </w:p>
    <w:p w14:paraId="22C2FB2E" w14:textId="77777777" w:rsidR="00CF5FA8" w:rsidRPr="00AF1B64" w:rsidRDefault="00CF5FA8" w:rsidP="005576E4">
      <w:pPr>
        <w:spacing w:line="252" w:lineRule="auto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sz w:val="22"/>
          <w:szCs w:val="22"/>
        </w:rPr>
        <w:t> </w:t>
      </w:r>
    </w:p>
    <w:p w14:paraId="2D2AE9BB" w14:textId="77777777" w:rsidR="00CF5FA8" w:rsidRPr="00AF1B64" w:rsidRDefault="00CF5FA8" w:rsidP="005576E4">
      <w:pPr>
        <w:numPr>
          <w:ilvl w:val="0"/>
          <w:numId w:val="17"/>
        </w:numPr>
        <w:spacing w:after="4" w:line="242" w:lineRule="auto"/>
        <w:ind w:left="368" w:hanging="348"/>
        <w:jc w:val="both"/>
        <w:rPr>
          <w:rFonts w:cstheme="minorHAnsi"/>
          <w:sz w:val="22"/>
          <w:szCs w:val="22"/>
        </w:rPr>
      </w:pPr>
      <w:r w:rsidRPr="00AF1B64">
        <w:rPr>
          <w:rFonts w:cstheme="minorHAnsi"/>
          <w:b/>
          <w:bCs/>
          <w:sz w:val="22"/>
          <w:szCs w:val="22"/>
        </w:rPr>
        <w:t xml:space="preserve">Siniestro: </w:t>
      </w:r>
      <w:r w:rsidRPr="00AF1B64">
        <w:rPr>
          <w:rFonts w:cstheme="minorHAnsi"/>
          <w:sz w:val="22"/>
          <w:szCs w:val="22"/>
        </w:rPr>
        <w:t xml:space="preserve">Es la realización del riesgo asegurado, esto es, la ocurrencia de alguno de los eventos objeto de cobertura. </w:t>
      </w:r>
    </w:p>
    <w:p w14:paraId="7E4D0A87" w14:textId="77777777" w:rsidR="00CF5FA8" w:rsidRPr="00AF1B64" w:rsidRDefault="00CF5FA8" w:rsidP="005576E4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6C99DCA5" w14:textId="77777777" w:rsidR="00CF5FA8" w:rsidRPr="00AF1B64" w:rsidRDefault="00CF5FA8" w:rsidP="005576E4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1B64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Línea de crédito: </w:t>
      </w:r>
      <w:r w:rsidRPr="00AF1B64">
        <w:rPr>
          <w:rFonts w:asciiTheme="minorHAnsi" w:hAnsiTheme="minorHAnsi" w:cstheme="minorHAnsi"/>
          <w:color w:val="000000"/>
          <w:sz w:val="22"/>
          <w:szCs w:val="22"/>
        </w:rPr>
        <w:t xml:space="preserve">Es un producto financiero que le facilita a las empresas y personas el acceso a dineros en calidad de préstamo, con la condición de pagar unos intereses y cumplir un plazo determinado para la amortización de cuotas y el pago de capital. </w:t>
      </w:r>
    </w:p>
    <w:p w14:paraId="65B28CAB" w14:textId="77777777" w:rsidR="00CF5FA8" w:rsidRPr="00AF1B64" w:rsidRDefault="00CF5FA8" w:rsidP="005576E4">
      <w:pPr>
        <w:pStyle w:val="Prrafodelist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CB572A" w14:textId="77777777" w:rsidR="00CF5FA8" w:rsidRPr="00AF1B64" w:rsidRDefault="00CF5FA8" w:rsidP="005576E4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1B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Proponente: </w:t>
      </w:r>
      <w:r w:rsidRPr="00AF1B64">
        <w:rPr>
          <w:rFonts w:asciiTheme="minorHAnsi" w:hAnsiTheme="minorHAnsi" w:cstheme="minorHAnsi"/>
          <w:color w:val="000000"/>
          <w:sz w:val="22"/>
          <w:szCs w:val="22"/>
        </w:rPr>
        <w:t xml:space="preserve">Entidad aseguradora que presente la postura en los términos del pliego de condiciones. </w:t>
      </w:r>
    </w:p>
    <w:p w14:paraId="4CDB8DF8" w14:textId="77777777" w:rsidR="00CF5FA8" w:rsidRPr="00AF1B64" w:rsidRDefault="00CF5FA8" w:rsidP="005576E4">
      <w:pPr>
        <w:pStyle w:val="Prrafodelist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E24746" w14:textId="77777777" w:rsidR="00CF5FA8" w:rsidRPr="00AF1B64" w:rsidRDefault="00CF5FA8" w:rsidP="005576E4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1B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Postura: </w:t>
      </w:r>
      <w:r w:rsidRPr="00AF1B64">
        <w:rPr>
          <w:rFonts w:asciiTheme="minorHAnsi" w:hAnsiTheme="minorHAnsi" w:cstheme="minorHAnsi"/>
          <w:color w:val="000000"/>
          <w:sz w:val="22"/>
          <w:szCs w:val="22"/>
        </w:rPr>
        <w:t xml:space="preserve">propuesta presentada por la entidad aseguradora, en sobre cerrado y de acuerdo con los términos del pliego de condiciones. </w:t>
      </w:r>
    </w:p>
    <w:p w14:paraId="0CD51CA7" w14:textId="77777777" w:rsidR="00CF5FA8" w:rsidRPr="00AF1B64" w:rsidRDefault="00CF5FA8" w:rsidP="005576E4">
      <w:pPr>
        <w:pStyle w:val="Prrafodelist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B8EC70" w14:textId="77777777" w:rsidR="00CF5FA8" w:rsidRPr="00AF1B64" w:rsidRDefault="00CF5FA8" w:rsidP="005576E4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1B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Redescuento: </w:t>
      </w:r>
      <w:r w:rsidRPr="00AF1B64">
        <w:rPr>
          <w:rFonts w:asciiTheme="minorHAnsi" w:hAnsiTheme="minorHAnsi" w:cstheme="minorHAnsi"/>
          <w:color w:val="000000"/>
          <w:sz w:val="22"/>
          <w:szCs w:val="22"/>
        </w:rPr>
        <w:t>Es una operación financiera en la cual una entidad obtiene fondos de un prestamista para cubrir el crédito otorgado a un tercero.</w:t>
      </w:r>
    </w:p>
    <w:p w14:paraId="58FAF7B6" w14:textId="77777777" w:rsidR="00CF5FA8" w:rsidRPr="00AF1B64" w:rsidRDefault="00CF5FA8" w:rsidP="005576E4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sectPr w:rsidR="00CF5FA8" w:rsidRPr="00AF1B64" w:rsidSect="00435CF9">
      <w:headerReference w:type="default" r:id="rId8"/>
      <w:footerReference w:type="default" r:id="rId9"/>
      <w:pgSz w:w="12240" w:h="15840" w:code="1"/>
      <w:pgMar w:top="1701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0739" w14:textId="77777777" w:rsidR="004342CB" w:rsidRDefault="004342CB">
      <w:r>
        <w:separator/>
      </w:r>
    </w:p>
  </w:endnote>
  <w:endnote w:type="continuationSeparator" w:id="0">
    <w:p w14:paraId="011988A9" w14:textId="77777777" w:rsidR="004342CB" w:rsidRDefault="0043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6346" w14:textId="2A144825" w:rsidR="00175F8E" w:rsidRDefault="00193AA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876620" wp14:editId="064F02DF">
          <wp:simplePos x="0" y="0"/>
          <wp:positionH relativeFrom="column">
            <wp:posOffset>5048885</wp:posOffset>
          </wp:positionH>
          <wp:positionV relativeFrom="paragraph">
            <wp:posOffset>-646430</wp:posOffset>
          </wp:positionV>
          <wp:extent cx="1335206" cy="1036683"/>
          <wp:effectExtent l="0" t="0" r="0" b="5080"/>
          <wp:wrapNone/>
          <wp:docPr id="7" name="Imagen 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206" cy="103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E10">
      <w:rPr>
        <w:noProof/>
      </w:rPr>
      <w:drawing>
        <wp:anchor distT="0" distB="0" distL="114300" distR="114300" simplePos="0" relativeHeight="251660288" behindDoc="1" locked="0" layoutInCell="1" allowOverlap="1" wp14:anchorId="1D406E84" wp14:editId="48E3E5E3">
          <wp:simplePos x="0" y="0"/>
          <wp:positionH relativeFrom="column">
            <wp:posOffset>-851535</wp:posOffset>
          </wp:positionH>
          <wp:positionV relativeFrom="paragraph">
            <wp:posOffset>-1611176</wp:posOffset>
          </wp:positionV>
          <wp:extent cx="85410" cy="1969579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8" cy="2808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5B0F" w14:textId="77777777" w:rsidR="004342CB" w:rsidRDefault="004342CB">
      <w:r>
        <w:separator/>
      </w:r>
    </w:p>
  </w:footnote>
  <w:footnote w:type="continuationSeparator" w:id="0">
    <w:p w14:paraId="2EF9CDC9" w14:textId="77777777" w:rsidR="004342CB" w:rsidRDefault="0043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1096" w14:textId="77777777" w:rsidR="00175F8E" w:rsidRDefault="00186E1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6EA25" wp14:editId="2874C55D">
          <wp:simplePos x="0" y="0"/>
          <wp:positionH relativeFrom="column">
            <wp:posOffset>-498475</wp:posOffset>
          </wp:positionH>
          <wp:positionV relativeFrom="paragraph">
            <wp:posOffset>136525</wp:posOffset>
          </wp:positionV>
          <wp:extent cx="3696789" cy="319987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789" cy="31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C05"/>
    <w:multiLevelType w:val="hybridMultilevel"/>
    <w:tmpl w:val="FE62C1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422E"/>
    <w:multiLevelType w:val="hybridMultilevel"/>
    <w:tmpl w:val="94CE41AE"/>
    <w:lvl w:ilvl="0" w:tplc="06427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2428"/>
    <w:multiLevelType w:val="hybridMultilevel"/>
    <w:tmpl w:val="83C0DB68"/>
    <w:lvl w:ilvl="0" w:tplc="9C32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4FA5"/>
    <w:multiLevelType w:val="hybridMultilevel"/>
    <w:tmpl w:val="D22202E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AF4A5D"/>
    <w:multiLevelType w:val="hybridMultilevel"/>
    <w:tmpl w:val="C3CE58DE"/>
    <w:lvl w:ilvl="0" w:tplc="24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4" w:hanging="360"/>
      </w:pPr>
    </w:lvl>
    <w:lvl w:ilvl="2" w:tplc="240A001B" w:tentative="1">
      <w:start w:val="1"/>
      <w:numFmt w:val="lowerRoman"/>
      <w:lvlText w:val="%3."/>
      <w:lvlJc w:val="right"/>
      <w:pPr>
        <w:ind w:left="3644" w:hanging="180"/>
      </w:pPr>
    </w:lvl>
    <w:lvl w:ilvl="3" w:tplc="240A000F" w:tentative="1">
      <w:start w:val="1"/>
      <w:numFmt w:val="decimal"/>
      <w:lvlText w:val="%4."/>
      <w:lvlJc w:val="left"/>
      <w:pPr>
        <w:ind w:left="4364" w:hanging="360"/>
      </w:pPr>
    </w:lvl>
    <w:lvl w:ilvl="4" w:tplc="240A0019" w:tentative="1">
      <w:start w:val="1"/>
      <w:numFmt w:val="lowerLetter"/>
      <w:lvlText w:val="%5."/>
      <w:lvlJc w:val="left"/>
      <w:pPr>
        <w:ind w:left="5084" w:hanging="360"/>
      </w:pPr>
    </w:lvl>
    <w:lvl w:ilvl="5" w:tplc="240A001B" w:tentative="1">
      <w:start w:val="1"/>
      <w:numFmt w:val="lowerRoman"/>
      <w:lvlText w:val="%6."/>
      <w:lvlJc w:val="right"/>
      <w:pPr>
        <w:ind w:left="5804" w:hanging="180"/>
      </w:pPr>
    </w:lvl>
    <w:lvl w:ilvl="6" w:tplc="240A000F" w:tentative="1">
      <w:start w:val="1"/>
      <w:numFmt w:val="decimal"/>
      <w:lvlText w:val="%7."/>
      <w:lvlJc w:val="left"/>
      <w:pPr>
        <w:ind w:left="6524" w:hanging="360"/>
      </w:pPr>
    </w:lvl>
    <w:lvl w:ilvl="7" w:tplc="240A0019" w:tentative="1">
      <w:start w:val="1"/>
      <w:numFmt w:val="lowerLetter"/>
      <w:lvlText w:val="%8."/>
      <w:lvlJc w:val="left"/>
      <w:pPr>
        <w:ind w:left="7244" w:hanging="360"/>
      </w:pPr>
    </w:lvl>
    <w:lvl w:ilvl="8" w:tplc="2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6C16985"/>
    <w:multiLevelType w:val="hybridMultilevel"/>
    <w:tmpl w:val="B6B247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51F5"/>
    <w:multiLevelType w:val="hybridMultilevel"/>
    <w:tmpl w:val="43C69074"/>
    <w:lvl w:ilvl="0" w:tplc="BE14A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E181B"/>
    <w:multiLevelType w:val="hybridMultilevel"/>
    <w:tmpl w:val="DF4E51DE"/>
    <w:lvl w:ilvl="0" w:tplc="47D0589A">
      <w:start w:val="1"/>
      <w:numFmt w:val="bullet"/>
      <w:pStyle w:val="Vietasficha"/>
      <w:lvlText w:val=""/>
      <w:lvlJc w:val="left"/>
      <w:pPr>
        <w:ind w:left="1287" w:hanging="360"/>
      </w:pPr>
      <w:rPr>
        <w:rFonts w:ascii="Symbol" w:hAnsi="Symbol" w:hint="default"/>
        <w:color w:val="5B9BD5"/>
        <w:lang w:val="es-CO"/>
      </w:rPr>
    </w:lvl>
    <w:lvl w:ilvl="1" w:tplc="2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1">
    <w:nsid w:val="43EF7235"/>
    <w:multiLevelType w:val="hybridMultilevel"/>
    <w:tmpl w:val="35BAA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97437"/>
    <w:multiLevelType w:val="hybridMultilevel"/>
    <w:tmpl w:val="59326366"/>
    <w:lvl w:ilvl="0" w:tplc="24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54C138C4"/>
    <w:multiLevelType w:val="hybridMultilevel"/>
    <w:tmpl w:val="02E0ADDA"/>
    <w:lvl w:ilvl="0" w:tplc="90A24138">
      <w:start w:val="1"/>
      <w:numFmt w:val="decimal"/>
      <w:lvlText w:val="%1"/>
      <w:lvlJc w:val="left"/>
      <w:pPr>
        <w:ind w:left="1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8277C4">
      <w:start w:val="1"/>
      <w:numFmt w:val="lowerLetter"/>
      <w:lvlText w:val="%2"/>
      <w:lvlJc w:val="left"/>
      <w:pPr>
        <w:ind w:left="10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B8AC94E">
      <w:start w:val="1"/>
      <w:numFmt w:val="lowerRoman"/>
      <w:lvlText w:val="%3"/>
      <w:lvlJc w:val="left"/>
      <w:pPr>
        <w:ind w:left="17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C837D6">
      <w:start w:val="1"/>
      <w:numFmt w:val="decimal"/>
      <w:lvlText w:val="%4"/>
      <w:lvlJc w:val="left"/>
      <w:pPr>
        <w:ind w:left="25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B68925E">
      <w:start w:val="1"/>
      <w:numFmt w:val="lowerLetter"/>
      <w:lvlText w:val="%5"/>
      <w:lvlJc w:val="left"/>
      <w:pPr>
        <w:ind w:left="32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CAEDE4C">
      <w:start w:val="1"/>
      <w:numFmt w:val="lowerRoman"/>
      <w:lvlText w:val="%6"/>
      <w:lvlJc w:val="left"/>
      <w:pPr>
        <w:ind w:left="39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423756">
      <w:start w:val="1"/>
      <w:numFmt w:val="decimal"/>
      <w:lvlText w:val="%7"/>
      <w:lvlJc w:val="left"/>
      <w:pPr>
        <w:ind w:left="46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685272">
      <w:start w:val="1"/>
      <w:numFmt w:val="lowerLetter"/>
      <w:lvlText w:val="%8"/>
      <w:lvlJc w:val="left"/>
      <w:pPr>
        <w:ind w:left="53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06DEBE">
      <w:start w:val="1"/>
      <w:numFmt w:val="lowerRoman"/>
      <w:lvlText w:val="%9"/>
      <w:lvlJc w:val="left"/>
      <w:pPr>
        <w:ind w:left="61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73A071F"/>
    <w:multiLevelType w:val="hybridMultilevel"/>
    <w:tmpl w:val="A80E9CE6"/>
    <w:lvl w:ilvl="0" w:tplc="589A95C8">
      <w:start w:val="4"/>
      <w:numFmt w:val="decimal"/>
      <w:lvlText w:val="%1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729C0"/>
    <w:multiLevelType w:val="hybridMultilevel"/>
    <w:tmpl w:val="EFC883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571E9"/>
    <w:multiLevelType w:val="hybridMultilevel"/>
    <w:tmpl w:val="A7804C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96B4B"/>
    <w:multiLevelType w:val="hybridMultilevel"/>
    <w:tmpl w:val="B1E40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35AAB"/>
    <w:multiLevelType w:val="hybridMultilevel"/>
    <w:tmpl w:val="2E9697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09328">
    <w:abstractNumId w:val="8"/>
  </w:num>
  <w:num w:numId="2" w16cid:durableId="1811247051">
    <w:abstractNumId w:val="14"/>
  </w:num>
  <w:num w:numId="3" w16cid:durableId="438066619">
    <w:abstractNumId w:val="6"/>
  </w:num>
  <w:num w:numId="4" w16cid:durableId="1937520558">
    <w:abstractNumId w:val="13"/>
  </w:num>
  <w:num w:numId="5" w16cid:durableId="1591809884">
    <w:abstractNumId w:val="4"/>
  </w:num>
  <w:num w:numId="6" w16cid:durableId="1768840445">
    <w:abstractNumId w:val="3"/>
  </w:num>
  <w:num w:numId="7" w16cid:durableId="917786533">
    <w:abstractNumId w:val="9"/>
  </w:num>
  <w:num w:numId="8" w16cid:durableId="1500926478">
    <w:abstractNumId w:val="5"/>
  </w:num>
  <w:num w:numId="9" w16cid:durableId="46762417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2244230">
    <w:abstractNumId w:val="7"/>
  </w:num>
  <w:num w:numId="11" w16cid:durableId="259529932">
    <w:abstractNumId w:val="7"/>
  </w:num>
  <w:num w:numId="12" w16cid:durableId="956566604">
    <w:abstractNumId w:val="1"/>
  </w:num>
  <w:num w:numId="13" w16cid:durableId="904268172">
    <w:abstractNumId w:val="0"/>
  </w:num>
  <w:num w:numId="14" w16cid:durableId="765811610">
    <w:abstractNumId w:val="2"/>
  </w:num>
  <w:num w:numId="15" w16cid:durableId="1869488225">
    <w:abstractNumId w:val="15"/>
  </w:num>
  <w:num w:numId="16" w16cid:durableId="1834946976">
    <w:abstractNumId w:val="12"/>
  </w:num>
  <w:num w:numId="17" w16cid:durableId="1997109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10"/>
    <w:rsid w:val="0000390F"/>
    <w:rsid w:val="000252FB"/>
    <w:rsid w:val="00041C9D"/>
    <w:rsid w:val="000514BA"/>
    <w:rsid w:val="0005721A"/>
    <w:rsid w:val="000613E5"/>
    <w:rsid w:val="00062791"/>
    <w:rsid w:val="00065DDF"/>
    <w:rsid w:val="00081C37"/>
    <w:rsid w:val="00096DBA"/>
    <w:rsid w:val="000A3F0B"/>
    <w:rsid w:val="000B2286"/>
    <w:rsid w:val="000B23F2"/>
    <w:rsid w:val="000B347E"/>
    <w:rsid w:val="000B3BDA"/>
    <w:rsid w:val="000C1145"/>
    <w:rsid w:val="000C4891"/>
    <w:rsid w:val="000D0F65"/>
    <w:rsid w:val="000E4F3B"/>
    <w:rsid w:val="001178C3"/>
    <w:rsid w:val="00120DF7"/>
    <w:rsid w:val="001439E3"/>
    <w:rsid w:val="00153B65"/>
    <w:rsid w:val="0016437C"/>
    <w:rsid w:val="0017233E"/>
    <w:rsid w:val="00175F8E"/>
    <w:rsid w:val="00186E10"/>
    <w:rsid w:val="00190DBB"/>
    <w:rsid w:val="00193AAA"/>
    <w:rsid w:val="001A5A4D"/>
    <w:rsid w:val="001C4625"/>
    <w:rsid w:val="001C4659"/>
    <w:rsid w:val="001C5313"/>
    <w:rsid w:val="001C7957"/>
    <w:rsid w:val="001E1245"/>
    <w:rsid w:val="001E1680"/>
    <w:rsid w:val="001E2845"/>
    <w:rsid w:val="001E71ED"/>
    <w:rsid w:val="001F0DAD"/>
    <w:rsid w:val="001F7FA6"/>
    <w:rsid w:val="00200B87"/>
    <w:rsid w:val="002253A3"/>
    <w:rsid w:val="00226145"/>
    <w:rsid w:val="002370A8"/>
    <w:rsid w:val="00242CFF"/>
    <w:rsid w:val="002441BC"/>
    <w:rsid w:val="00244361"/>
    <w:rsid w:val="00245439"/>
    <w:rsid w:val="00264FD2"/>
    <w:rsid w:val="002751F7"/>
    <w:rsid w:val="00277EB7"/>
    <w:rsid w:val="00280669"/>
    <w:rsid w:val="002B3A19"/>
    <w:rsid w:val="002B3C68"/>
    <w:rsid w:val="002C1B5C"/>
    <w:rsid w:val="002D4DAD"/>
    <w:rsid w:val="002D6BBE"/>
    <w:rsid w:val="002D75C3"/>
    <w:rsid w:val="0032487A"/>
    <w:rsid w:val="00324D9A"/>
    <w:rsid w:val="003337A5"/>
    <w:rsid w:val="00346FDC"/>
    <w:rsid w:val="00353EDD"/>
    <w:rsid w:val="00373077"/>
    <w:rsid w:val="003A61B2"/>
    <w:rsid w:val="003C6311"/>
    <w:rsid w:val="003C7993"/>
    <w:rsid w:val="003D022D"/>
    <w:rsid w:val="003D1F05"/>
    <w:rsid w:val="003E334D"/>
    <w:rsid w:val="003E465E"/>
    <w:rsid w:val="003E50E5"/>
    <w:rsid w:val="003E524B"/>
    <w:rsid w:val="00405EEC"/>
    <w:rsid w:val="0041685D"/>
    <w:rsid w:val="00424E93"/>
    <w:rsid w:val="004301A3"/>
    <w:rsid w:val="004313D0"/>
    <w:rsid w:val="004338ED"/>
    <w:rsid w:val="004342CB"/>
    <w:rsid w:val="00435873"/>
    <w:rsid w:val="00435CF9"/>
    <w:rsid w:val="00453184"/>
    <w:rsid w:val="0046009F"/>
    <w:rsid w:val="00464028"/>
    <w:rsid w:val="0047440A"/>
    <w:rsid w:val="00476C95"/>
    <w:rsid w:val="0048115B"/>
    <w:rsid w:val="00485BA3"/>
    <w:rsid w:val="00487584"/>
    <w:rsid w:val="00490807"/>
    <w:rsid w:val="004A1883"/>
    <w:rsid w:val="004B0D25"/>
    <w:rsid w:val="004B33EB"/>
    <w:rsid w:val="004C7100"/>
    <w:rsid w:val="004E79B7"/>
    <w:rsid w:val="004F4FBA"/>
    <w:rsid w:val="005041E5"/>
    <w:rsid w:val="00514D07"/>
    <w:rsid w:val="00515D0E"/>
    <w:rsid w:val="00515D47"/>
    <w:rsid w:val="00520D48"/>
    <w:rsid w:val="00521A15"/>
    <w:rsid w:val="005221FC"/>
    <w:rsid w:val="00523B53"/>
    <w:rsid w:val="005429B7"/>
    <w:rsid w:val="00550AB2"/>
    <w:rsid w:val="005574FB"/>
    <w:rsid w:val="005576E4"/>
    <w:rsid w:val="00562EB7"/>
    <w:rsid w:val="00594D18"/>
    <w:rsid w:val="00597C78"/>
    <w:rsid w:val="005A0393"/>
    <w:rsid w:val="005A235F"/>
    <w:rsid w:val="005C0367"/>
    <w:rsid w:val="005D0A3E"/>
    <w:rsid w:val="005D51A3"/>
    <w:rsid w:val="005E6804"/>
    <w:rsid w:val="00630278"/>
    <w:rsid w:val="00632EB6"/>
    <w:rsid w:val="00641788"/>
    <w:rsid w:val="00646D7D"/>
    <w:rsid w:val="00681A2E"/>
    <w:rsid w:val="00686D90"/>
    <w:rsid w:val="006948B6"/>
    <w:rsid w:val="006A62D8"/>
    <w:rsid w:val="006B5505"/>
    <w:rsid w:val="006C29B1"/>
    <w:rsid w:val="006C600F"/>
    <w:rsid w:val="006D01D6"/>
    <w:rsid w:val="006D34D2"/>
    <w:rsid w:val="006D4139"/>
    <w:rsid w:val="006D42D9"/>
    <w:rsid w:val="006D7750"/>
    <w:rsid w:val="006E6812"/>
    <w:rsid w:val="006E6AAD"/>
    <w:rsid w:val="006F7726"/>
    <w:rsid w:val="007121CB"/>
    <w:rsid w:val="00713F80"/>
    <w:rsid w:val="00723991"/>
    <w:rsid w:val="00737F52"/>
    <w:rsid w:val="00740FBF"/>
    <w:rsid w:val="0076271E"/>
    <w:rsid w:val="00767CB4"/>
    <w:rsid w:val="007739E8"/>
    <w:rsid w:val="007757DC"/>
    <w:rsid w:val="007814D1"/>
    <w:rsid w:val="00785A17"/>
    <w:rsid w:val="007A00AB"/>
    <w:rsid w:val="007B4294"/>
    <w:rsid w:val="007C3A8B"/>
    <w:rsid w:val="007C6EE4"/>
    <w:rsid w:val="007C7D36"/>
    <w:rsid w:val="007F715F"/>
    <w:rsid w:val="00805F0A"/>
    <w:rsid w:val="00810056"/>
    <w:rsid w:val="00815BC4"/>
    <w:rsid w:val="008411BE"/>
    <w:rsid w:val="00842817"/>
    <w:rsid w:val="0084287B"/>
    <w:rsid w:val="00845B54"/>
    <w:rsid w:val="0086131E"/>
    <w:rsid w:val="00874431"/>
    <w:rsid w:val="00876C10"/>
    <w:rsid w:val="00877EDE"/>
    <w:rsid w:val="008858F0"/>
    <w:rsid w:val="008916F2"/>
    <w:rsid w:val="008B2419"/>
    <w:rsid w:val="008C07D8"/>
    <w:rsid w:val="008C0F79"/>
    <w:rsid w:val="008C6FB0"/>
    <w:rsid w:val="008C7E7C"/>
    <w:rsid w:val="008D137A"/>
    <w:rsid w:val="008D166C"/>
    <w:rsid w:val="008D728D"/>
    <w:rsid w:val="008F33C2"/>
    <w:rsid w:val="00900D0C"/>
    <w:rsid w:val="009049AE"/>
    <w:rsid w:val="00907119"/>
    <w:rsid w:val="00913615"/>
    <w:rsid w:val="00917925"/>
    <w:rsid w:val="00926F2E"/>
    <w:rsid w:val="0093194C"/>
    <w:rsid w:val="00932FC7"/>
    <w:rsid w:val="0095123B"/>
    <w:rsid w:val="00965918"/>
    <w:rsid w:val="009678EE"/>
    <w:rsid w:val="0097364E"/>
    <w:rsid w:val="00976867"/>
    <w:rsid w:val="00983E14"/>
    <w:rsid w:val="00984229"/>
    <w:rsid w:val="00984E69"/>
    <w:rsid w:val="00992395"/>
    <w:rsid w:val="00996820"/>
    <w:rsid w:val="009A11C5"/>
    <w:rsid w:val="009A1708"/>
    <w:rsid w:val="009A1724"/>
    <w:rsid w:val="009B0A32"/>
    <w:rsid w:val="009B367B"/>
    <w:rsid w:val="009C0DB6"/>
    <w:rsid w:val="009C2D47"/>
    <w:rsid w:val="009C77FD"/>
    <w:rsid w:val="009D594D"/>
    <w:rsid w:val="009E3905"/>
    <w:rsid w:val="00A00944"/>
    <w:rsid w:val="00A16CA7"/>
    <w:rsid w:val="00A30A00"/>
    <w:rsid w:val="00A55468"/>
    <w:rsid w:val="00A75632"/>
    <w:rsid w:val="00A846BE"/>
    <w:rsid w:val="00AC3714"/>
    <w:rsid w:val="00AF1B64"/>
    <w:rsid w:val="00AF4211"/>
    <w:rsid w:val="00B04247"/>
    <w:rsid w:val="00B16CD3"/>
    <w:rsid w:val="00B33804"/>
    <w:rsid w:val="00B3657E"/>
    <w:rsid w:val="00B40D86"/>
    <w:rsid w:val="00B53104"/>
    <w:rsid w:val="00B76D97"/>
    <w:rsid w:val="00B9048F"/>
    <w:rsid w:val="00B96CAD"/>
    <w:rsid w:val="00BA222F"/>
    <w:rsid w:val="00BA297F"/>
    <w:rsid w:val="00BA7ACC"/>
    <w:rsid w:val="00BB14A8"/>
    <w:rsid w:val="00BC627F"/>
    <w:rsid w:val="00BC6B51"/>
    <w:rsid w:val="00BD51D4"/>
    <w:rsid w:val="00BF1661"/>
    <w:rsid w:val="00BF17F9"/>
    <w:rsid w:val="00C07397"/>
    <w:rsid w:val="00C12AC9"/>
    <w:rsid w:val="00C20C45"/>
    <w:rsid w:val="00C270E3"/>
    <w:rsid w:val="00C320F0"/>
    <w:rsid w:val="00C405B7"/>
    <w:rsid w:val="00C611F7"/>
    <w:rsid w:val="00C733D0"/>
    <w:rsid w:val="00C735B0"/>
    <w:rsid w:val="00C911D3"/>
    <w:rsid w:val="00CA1EBB"/>
    <w:rsid w:val="00CB32DD"/>
    <w:rsid w:val="00CC707B"/>
    <w:rsid w:val="00CF5FA8"/>
    <w:rsid w:val="00CF69F8"/>
    <w:rsid w:val="00CF7CDD"/>
    <w:rsid w:val="00D061C9"/>
    <w:rsid w:val="00D07F33"/>
    <w:rsid w:val="00D333FE"/>
    <w:rsid w:val="00D33918"/>
    <w:rsid w:val="00D43257"/>
    <w:rsid w:val="00D45A7E"/>
    <w:rsid w:val="00D52A9B"/>
    <w:rsid w:val="00D70343"/>
    <w:rsid w:val="00D72814"/>
    <w:rsid w:val="00D8786C"/>
    <w:rsid w:val="00D94CCD"/>
    <w:rsid w:val="00DA31F1"/>
    <w:rsid w:val="00DB06A6"/>
    <w:rsid w:val="00DB5806"/>
    <w:rsid w:val="00DC2C82"/>
    <w:rsid w:val="00DE1A23"/>
    <w:rsid w:val="00DE69F2"/>
    <w:rsid w:val="00E00C08"/>
    <w:rsid w:val="00E01254"/>
    <w:rsid w:val="00E05307"/>
    <w:rsid w:val="00E068AD"/>
    <w:rsid w:val="00E1201E"/>
    <w:rsid w:val="00E21A44"/>
    <w:rsid w:val="00E241F3"/>
    <w:rsid w:val="00E25740"/>
    <w:rsid w:val="00E30434"/>
    <w:rsid w:val="00E33F96"/>
    <w:rsid w:val="00E435FC"/>
    <w:rsid w:val="00E50E58"/>
    <w:rsid w:val="00E60282"/>
    <w:rsid w:val="00E6056D"/>
    <w:rsid w:val="00E70990"/>
    <w:rsid w:val="00E737F4"/>
    <w:rsid w:val="00E75033"/>
    <w:rsid w:val="00E75B51"/>
    <w:rsid w:val="00E85236"/>
    <w:rsid w:val="00E9416E"/>
    <w:rsid w:val="00EB0323"/>
    <w:rsid w:val="00EC082D"/>
    <w:rsid w:val="00EC4ADB"/>
    <w:rsid w:val="00EC68DA"/>
    <w:rsid w:val="00ED1752"/>
    <w:rsid w:val="00ED522B"/>
    <w:rsid w:val="00EE139C"/>
    <w:rsid w:val="00EE3C24"/>
    <w:rsid w:val="00EE7A2A"/>
    <w:rsid w:val="00F042AE"/>
    <w:rsid w:val="00F0744A"/>
    <w:rsid w:val="00F138D9"/>
    <w:rsid w:val="00F211CD"/>
    <w:rsid w:val="00F2547A"/>
    <w:rsid w:val="00F26EF1"/>
    <w:rsid w:val="00F27073"/>
    <w:rsid w:val="00F410C9"/>
    <w:rsid w:val="00F41FF2"/>
    <w:rsid w:val="00F46A1E"/>
    <w:rsid w:val="00F52B02"/>
    <w:rsid w:val="00F52D4F"/>
    <w:rsid w:val="00F60F3A"/>
    <w:rsid w:val="00F650D4"/>
    <w:rsid w:val="00F66BDB"/>
    <w:rsid w:val="00F75062"/>
    <w:rsid w:val="00FC3471"/>
    <w:rsid w:val="00FC4FA1"/>
    <w:rsid w:val="00FD29AA"/>
    <w:rsid w:val="00FD2B48"/>
    <w:rsid w:val="00FE0130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BB50"/>
  <w15:chartTrackingRefBased/>
  <w15:docId w15:val="{97773A6D-631B-441D-AF5B-93748AFC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24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E58"/>
    <w:pPr>
      <w:keepNext/>
      <w:keepLines/>
      <w:spacing w:before="40"/>
      <w:outlineLvl w:val="1"/>
    </w:pPr>
    <w:rPr>
      <w:rFonts w:ascii="Verdana" w:eastAsia="MS Gothic" w:hAnsi="Verdana" w:cs="Times New Roman"/>
      <w:color w:val="365F91"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E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E1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6E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E10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6E10"/>
    <w:pPr>
      <w:spacing w:after="120" w:line="480" w:lineRule="auto"/>
    </w:pPr>
    <w:rPr>
      <w:rFonts w:ascii="Helvetica" w:eastAsia="Times New Roman" w:hAnsi="Helvetica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6E10"/>
    <w:rPr>
      <w:rFonts w:ascii="Helvetica" w:eastAsia="Times New Roman" w:hAnsi="Helvetica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86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4247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42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0">
    <w:name w:val="Normal."/>
    <w:basedOn w:val="Normal"/>
    <w:rsid w:val="00B04247"/>
    <w:pPr>
      <w:autoSpaceDE w:val="0"/>
      <w:autoSpaceDN w:val="0"/>
      <w:jc w:val="both"/>
    </w:pPr>
    <w:rPr>
      <w:rFonts w:ascii="Arial" w:eastAsia="Calibri" w:hAnsi="Arial" w:cs="Arial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04247"/>
    <w:rPr>
      <w:color w:val="0563C1" w:themeColor="hyperlink"/>
      <w:u w:val="single"/>
    </w:rPr>
  </w:style>
  <w:style w:type="paragraph" w:styleId="NormalWeb">
    <w:name w:val="Normal (Web)"/>
    <w:aliases w:val="Normal (Web) Car Car"/>
    <w:basedOn w:val="Normal"/>
    <w:link w:val="NormalWebCar"/>
    <w:uiPriority w:val="99"/>
    <w:unhideWhenUsed/>
    <w:rsid w:val="00B04247"/>
    <w:rPr>
      <w:rFonts w:ascii="Times New Roman" w:eastAsia="Calibri" w:hAnsi="Times New Roman" w:cs="Times New Roman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E50E58"/>
    <w:rPr>
      <w:rFonts w:ascii="Verdana" w:eastAsia="MS Gothic" w:hAnsi="Verdana" w:cs="Times New Roman"/>
      <w:color w:val="365F91"/>
      <w:sz w:val="26"/>
      <w:szCs w:val="26"/>
      <w:lang w:val="es-ES_tradnl" w:eastAsia="es-ES"/>
    </w:rPr>
  </w:style>
  <w:style w:type="paragraph" w:customStyle="1" w:styleId="Default">
    <w:name w:val="Default"/>
    <w:rsid w:val="00E50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E50E58"/>
    <w:rPr>
      <w:rFonts w:ascii="Calibri" w:eastAsia="Calibri" w:hAnsi="Calibri" w:cs="Times New Roman"/>
      <w:sz w:val="22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0E58"/>
    <w:rPr>
      <w:rFonts w:ascii="Calibri" w:eastAsia="Calibri" w:hAnsi="Calibri" w:cs="Times New Roman"/>
      <w:szCs w:val="21"/>
      <w:lang w:val="es-ES"/>
    </w:rPr>
  </w:style>
  <w:style w:type="character" w:customStyle="1" w:styleId="NormalWebCar">
    <w:name w:val="Normal (Web) Car"/>
    <w:aliases w:val="Normal (Web) Car Car Car"/>
    <w:link w:val="NormalWeb"/>
    <w:uiPriority w:val="99"/>
    <w:locked/>
    <w:rsid w:val="00E50E58"/>
    <w:rPr>
      <w:rFonts w:ascii="Times New Roman" w:eastAsia="Calibri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E58"/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E58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50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E50E58"/>
    <w:pPr>
      <w:ind w:left="708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50E58"/>
    <w:rPr>
      <w:color w:val="605E5C"/>
      <w:shd w:val="clear" w:color="auto" w:fill="E1DFDD"/>
    </w:rPr>
  </w:style>
  <w:style w:type="character" w:customStyle="1" w:styleId="VietasfichaCar">
    <w:name w:val="Viñetas ficha Car"/>
    <w:basedOn w:val="Fuentedeprrafopredeter"/>
    <w:link w:val="Vietasficha"/>
    <w:locked/>
    <w:rsid w:val="00515D0E"/>
    <w:rPr>
      <w:rFonts w:ascii="Arial Narrow" w:hAnsi="Arial Narrow"/>
      <w:lang w:eastAsia="en-GB"/>
    </w:rPr>
  </w:style>
  <w:style w:type="paragraph" w:customStyle="1" w:styleId="Vietasficha">
    <w:name w:val="Viñetas ficha"/>
    <w:basedOn w:val="Normal"/>
    <w:link w:val="VietasfichaCar"/>
    <w:rsid w:val="00515D0E"/>
    <w:pPr>
      <w:numPr>
        <w:numId w:val="10"/>
      </w:numPr>
      <w:jc w:val="both"/>
    </w:pPr>
    <w:rPr>
      <w:rFonts w:ascii="Arial Narrow" w:hAnsi="Arial Narrow"/>
      <w:sz w:val="22"/>
      <w:szCs w:val="22"/>
      <w:lang w:eastAsia="en-GB"/>
    </w:rPr>
  </w:style>
  <w:style w:type="paragraph" w:customStyle="1" w:styleId="paragraph">
    <w:name w:val="paragraph"/>
    <w:basedOn w:val="Normal"/>
    <w:rsid w:val="004C71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eop">
    <w:name w:val="eop"/>
    <w:rsid w:val="004C7100"/>
  </w:style>
  <w:style w:type="character" w:customStyle="1" w:styleId="normaltextrun">
    <w:name w:val="normaltextrun"/>
    <w:rsid w:val="004C7100"/>
  </w:style>
  <w:style w:type="paragraph" w:styleId="Sinespaciado">
    <w:name w:val="No Spacing"/>
    <w:uiPriority w:val="1"/>
    <w:qFormat/>
    <w:rsid w:val="00DE1A23"/>
    <w:pPr>
      <w:spacing w:after="0" w:line="240" w:lineRule="auto"/>
    </w:pPr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E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23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3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3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3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395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90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B0A32"/>
    <w:rPr>
      <w:color w:val="808080"/>
    </w:rPr>
  </w:style>
  <w:style w:type="paragraph" w:customStyle="1" w:styleId="xmsonormal">
    <w:name w:val="x_msonormal"/>
    <w:basedOn w:val="Normal"/>
    <w:rsid w:val="001E1680"/>
    <w:rPr>
      <w:rFonts w:ascii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1A3C22502ED4CAE02AE69BC573273" ma:contentTypeVersion="0" ma:contentTypeDescription="Crear nuevo documento." ma:contentTypeScope="" ma:versionID="36808eb2b0f51cb46c8fe64873635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6b09c02ed9f1d227af818e81e9e9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9C64BC-8ADA-4C35-9110-E908073D8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C89FD-CDCD-4160-ADCA-1A190041CE4F}"/>
</file>

<file path=customXml/itemProps3.xml><?xml version="1.0" encoding="utf-8"?>
<ds:datastoreItem xmlns:ds="http://schemas.openxmlformats.org/officeDocument/2006/customXml" ds:itemID="{2F4A02B0-3478-45E9-83A4-375667D71045}"/>
</file>

<file path=customXml/itemProps4.xml><?xml version="1.0" encoding="utf-8"?>
<ds:datastoreItem xmlns:ds="http://schemas.openxmlformats.org/officeDocument/2006/customXml" ds:itemID="{A02E12FE-994F-4A19-AE17-DF4352E6D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Katherine Vargas Talero</dc:creator>
  <cp:keywords/>
  <dc:description/>
  <cp:lastModifiedBy>Vanessa Tenorio Mejia</cp:lastModifiedBy>
  <cp:revision>64</cp:revision>
  <cp:lastPrinted>2022-05-19T15:02:00Z</cp:lastPrinted>
  <dcterms:created xsi:type="dcterms:W3CDTF">2022-07-19T15:20:00Z</dcterms:created>
  <dcterms:modified xsi:type="dcterms:W3CDTF">2023-10-10T00:58:00Z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0x010100E7F1A3C22502ED4CAE02AE69BC573273</vt:lpwstr>
  </property>
</Properties>
</file>