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AED" w:rsidRDefault="00B64AED" w:rsidP="00577B41">
      <w:pPr>
        <w:pStyle w:val="Default"/>
        <w:spacing w:line="240" w:lineRule="atLeast"/>
      </w:pPr>
    </w:p>
    <w:p w:rsidR="00B64AED" w:rsidRDefault="00B64AED" w:rsidP="00577B41">
      <w:pPr>
        <w:pStyle w:val="Default"/>
        <w:spacing w:line="240" w:lineRule="atLeast"/>
        <w:jc w:val="center"/>
        <w:rPr>
          <w:sz w:val="23"/>
          <w:szCs w:val="23"/>
        </w:rPr>
      </w:pPr>
      <w:r>
        <w:rPr>
          <w:b/>
          <w:bCs/>
          <w:sz w:val="23"/>
          <w:szCs w:val="23"/>
        </w:rPr>
        <w:t>AVISO DE DECLARATORIA DE DESIERTA</w:t>
      </w:r>
    </w:p>
    <w:p w:rsidR="00B64AED" w:rsidRDefault="00577B41" w:rsidP="00577B41">
      <w:pPr>
        <w:pStyle w:val="Default"/>
        <w:spacing w:line="240" w:lineRule="atLeast"/>
        <w:jc w:val="center"/>
        <w:rPr>
          <w:b/>
          <w:bCs/>
          <w:sz w:val="23"/>
          <w:szCs w:val="23"/>
        </w:rPr>
      </w:pPr>
      <w:r>
        <w:rPr>
          <w:b/>
          <w:bCs/>
          <w:sz w:val="23"/>
          <w:szCs w:val="23"/>
        </w:rPr>
        <w:t>TERMINOS DE REFERENCIA</w:t>
      </w:r>
      <w:r w:rsidR="00B64AED">
        <w:rPr>
          <w:b/>
          <w:bCs/>
          <w:sz w:val="23"/>
          <w:szCs w:val="23"/>
        </w:rPr>
        <w:t xml:space="preserve"> No. 767</w:t>
      </w:r>
    </w:p>
    <w:p w:rsidR="00B64AED" w:rsidRDefault="00B64AED" w:rsidP="00577B41">
      <w:pPr>
        <w:pStyle w:val="Default"/>
        <w:spacing w:line="240" w:lineRule="atLeast"/>
        <w:jc w:val="center"/>
        <w:rPr>
          <w:b/>
          <w:bCs/>
          <w:sz w:val="23"/>
          <w:szCs w:val="23"/>
        </w:rPr>
      </w:pPr>
    </w:p>
    <w:p w:rsidR="00B64AED" w:rsidRDefault="00B64AED" w:rsidP="00577B41">
      <w:pPr>
        <w:pStyle w:val="Default"/>
        <w:spacing w:line="240" w:lineRule="atLeast"/>
        <w:jc w:val="center"/>
        <w:rPr>
          <w:b/>
          <w:bCs/>
          <w:sz w:val="23"/>
          <w:szCs w:val="23"/>
        </w:rPr>
      </w:pPr>
    </w:p>
    <w:p w:rsidR="00B64AED" w:rsidRPr="00B64AED" w:rsidRDefault="00B64AED" w:rsidP="00577B41">
      <w:pPr>
        <w:pStyle w:val="Default"/>
        <w:spacing w:line="240" w:lineRule="atLeast"/>
        <w:jc w:val="both"/>
        <w:rPr>
          <w:b/>
          <w:bCs/>
          <w:sz w:val="23"/>
          <w:szCs w:val="23"/>
        </w:rPr>
      </w:pPr>
      <w:r w:rsidRPr="00B64AED">
        <w:rPr>
          <w:b/>
          <w:bCs/>
          <w:sz w:val="23"/>
          <w:szCs w:val="23"/>
        </w:rPr>
        <w:t>TÉRMINOS DE REFERENCIA PARA LA SELECCIÓN DE UN CONTRATISTA PARA EL SERVICIO DE CUSTODIA, ADMINISTRACIÓN Y TRASNPORTE DE DOCUMENTOS DE ARCHIVO FÍSICO ACTIVO E INACTIVO, MEDIOS MAGNETICOS Y TITULOS VALORES PARA EL BANCO DE COMERCIO EXTERIOR DE COLOMBIA S.A. - BANCOLDEX, ARCO GRUPO BANCÓLDEX S.A. COMPAÑÍA DE FINANCIEMIENTO Y FIDUCIARIA COLOMBIANA DE COMERCIO EXTERIOR DE COLOMBIA S.A. - FIDUCOLDEX ACTUANDO EN NOMBRE PROPIO Y COMO VOCERA DE LOS PATRIMONIOS AUTÓNOMOS PROCOLOMBIA, FONTUR, PTP E INNPULSA Y LOS FIDEICOMISOS QUE ADMINISTRA O LLEGARE A ADMINISTRAR.</w:t>
      </w:r>
    </w:p>
    <w:p w:rsidR="00B64AED" w:rsidRDefault="00B64AED" w:rsidP="00577B41">
      <w:pPr>
        <w:pStyle w:val="Default"/>
        <w:spacing w:line="240" w:lineRule="atLeast"/>
        <w:jc w:val="center"/>
        <w:rPr>
          <w:sz w:val="23"/>
          <w:szCs w:val="23"/>
        </w:rPr>
      </w:pPr>
    </w:p>
    <w:p w:rsidR="00B64AED" w:rsidRDefault="00B64AED" w:rsidP="00577B41">
      <w:pPr>
        <w:pStyle w:val="Default"/>
        <w:spacing w:line="240" w:lineRule="atLeast"/>
        <w:jc w:val="both"/>
        <w:rPr>
          <w:sz w:val="23"/>
          <w:szCs w:val="23"/>
        </w:rPr>
      </w:pPr>
    </w:p>
    <w:p w:rsidR="00577B41" w:rsidRDefault="00577B41" w:rsidP="00577B41">
      <w:pPr>
        <w:pStyle w:val="Default"/>
        <w:spacing w:line="240" w:lineRule="atLeast"/>
        <w:jc w:val="both"/>
      </w:pPr>
    </w:p>
    <w:p w:rsidR="00577B41" w:rsidRDefault="00577B41" w:rsidP="00577B41">
      <w:pPr>
        <w:pStyle w:val="Default"/>
        <w:spacing w:line="240" w:lineRule="atLeast"/>
        <w:jc w:val="both"/>
        <w:rPr>
          <w:sz w:val="23"/>
          <w:szCs w:val="23"/>
        </w:rPr>
      </w:pPr>
      <w:r>
        <w:rPr>
          <w:sz w:val="23"/>
          <w:szCs w:val="23"/>
        </w:rPr>
        <w:t>Por medio del cual, el Banco de Comercio Exterior de Colombia S.A. haciendo uso de las facultades previstas en el numeral 6.9 “Declaratoria de Desierta” de los Términos de Referencia se permite informar a los interesados en la convocatoria la declaratoria de desierta de la misma.</w:t>
      </w:r>
    </w:p>
    <w:p w:rsidR="00577B41" w:rsidRDefault="00577B41" w:rsidP="00577B41">
      <w:pPr>
        <w:pStyle w:val="Default"/>
        <w:spacing w:line="240" w:lineRule="atLeast"/>
        <w:rPr>
          <w:sz w:val="23"/>
          <w:szCs w:val="23"/>
        </w:rPr>
      </w:pPr>
    </w:p>
    <w:p w:rsidR="00577B41" w:rsidRDefault="00577B41" w:rsidP="00577B41">
      <w:pPr>
        <w:pStyle w:val="Default"/>
        <w:spacing w:line="240" w:lineRule="atLeast"/>
        <w:rPr>
          <w:sz w:val="23"/>
          <w:szCs w:val="23"/>
        </w:rPr>
      </w:pPr>
      <w:r>
        <w:rPr>
          <w:sz w:val="23"/>
          <w:szCs w:val="23"/>
        </w:rPr>
        <w:t xml:space="preserve">Lo anterior, de acuerdo con lo mencionado en el primer ítem de dicho numeral: </w:t>
      </w:r>
    </w:p>
    <w:p w:rsidR="00577B41" w:rsidRDefault="00577B41" w:rsidP="00577B41">
      <w:pPr>
        <w:pStyle w:val="Default"/>
        <w:spacing w:line="240" w:lineRule="atLeast"/>
        <w:rPr>
          <w:sz w:val="23"/>
          <w:szCs w:val="23"/>
        </w:rPr>
      </w:pPr>
    </w:p>
    <w:p w:rsidR="00577B41" w:rsidRDefault="00577B41" w:rsidP="00577B41">
      <w:pPr>
        <w:pStyle w:val="Default"/>
        <w:numPr>
          <w:ilvl w:val="0"/>
          <w:numId w:val="2"/>
        </w:numPr>
        <w:spacing w:line="240" w:lineRule="atLeast"/>
        <w:rPr>
          <w:sz w:val="23"/>
          <w:szCs w:val="23"/>
        </w:rPr>
      </w:pPr>
      <w:r>
        <w:rPr>
          <w:sz w:val="23"/>
          <w:szCs w:val="23"/>
        </w:rPr>
        <w:t xml:space="preserve">Cuando ninguna de las propuestas evaluadas cumpla con los requisitos exigidos en los términos de referencia. </w:t>
      </w:r>
    </w:p>
    <w:p w:rsidR="00577B41" w:rsidRDefault="00577B41" w:rsidP="00577B41">
      <w:pPr>
        <w:pStyle w:val="Default"/>
        <w:spacing w:line="240" w:lineRule="atLeast"/>
        <w:rPr>
          <w:sz w:val="23"/>
          <w:szCs w:val="23"/>
        </w:rPr>
      </w:pPr>
    </w:p>
    <w:p w:rsidR="00B64AED" w:rsidRDefault="00B64AED" w:rsidP="00577B41">
      <w:pPr>
        <w:pStyle w:val="Default"/>
        <w:spacing w:line="240" w:lineRule="atLeast"/>
        <w:jc w:val="both"/>
        <w:rPr>
          <w:sz w:val="23"/>
          <w:szCs w:val="23"/>
        </w:rPr>
      </w:pPr>
      <w:r>
        <w:rPr>
          <w:sz w:val="23"/>
          <w:szCs w:val="23"/>
        </w:rPr>
        <w:t>Así mismo, se informa a los proponentes que radicaron propuesta que la misma podrá ser retirada en el Departamento de Servicios Administrativo de Bancóldex ubicado en la Calle 28 Nº 13 a 15 piso 40</w:t>
      </w:r>
      <w:r w:rsidR="00236039">
        <w:rPr>
          <w:sz w:val="23"/>
          <w:szCs w:val="23"/>
        </w:rPr>
        <w:t xml:space="preserve"> de la ciudad de Bogotá el día 18</w:t>
      </w:r>
      <w:r>
        <w:rPr>
          <w:sz w:val="23"/>
          <w:szCs w:val="23"/>
        </w:rPr>
        <w:t xml:space="preserve"> de junio de 2018 en el horario comprendido entre las 8:30 a.m. y las 4:30 p.m. </w:t>
      </w:r>
    </w:p>
    <w:p w:rsidR="00B64AED" w:rsidRDefault="00B64AED" w:rsidP="00577B41">
      <w:pPr>
        <w:pStyle w:val="Default"/>
        <w:spacing w:line="240" w:lineRule="atLeast"/>
        <w:rPr>
          <w:sz w:val="23"/>
          <w:szCs w:val="23"/>
        </w:rPr>
      </w:pPr>
    </w:p>
    <w:p w:rsidR="00B64AED" w:rsidRDefault="00B64AED" w:rsidP="00577B41">
      <w:pPr>
        <w:pStyle w:val="Default"/>
        <w:spacing w:line="240" w:lineRule="atLeast"/>
        <w:rPr>
          <w:sz w:val="23"/>
          <w:szCs w:val="23"/>
        </w:rPr>
      </w:pPr>
    </w:p>
    <w:p w:rsidR="00284895" w:rsidRPr="005D02FD" w:rsidRDefault="005D02FD" w:rsidP="00577B41">
      <w:pPr>
        <w:pStyle w:val="Default"/>
        <w:spacing w:line="240" w:lineRule="atLeast"/>
        <w:jc w:val="both"/>
        <w:rPr>
          <w:sz w:val="23"/>
          <w:szCs w:val="23"/>
        </w:rPr>
      </w:pPr>
      <w:r>
        <w:rPr>
          <w:sz w:val="23"/>
          <w:szCs w:val="23"/>
        </w:rPr>
        <w:t xml:space="preserve">Bogotá D.C., </w:t>
      </w:r>
      <w:r w:rsidR="00236039">
        <w:rPr>
          <w:sz w:val="23"/>
          <w:szCs w:val="23"/>
        </w:rPr>
        <w:t>14</w:t>
      </w:r>
      <w:r>
        <w:rPr>
          <w:sz w:val="23"/>
          <w:szCs w:val="23"/>
        </w:rPr>
        <w:t xml:space="preserve"> de junio</w:t>
      </w:r>
      <w:r w:rsidR="00B64AED">
        <w:rPr>
          <w:sz w:val="23"/>
          <w:szCs w:val="23"/>
        </w:rPr>
        <w:t xml:space="preserve"> de 2018.</w:t>
      </w:r>
      <w:bookmarkStart w:id="0" w:name="_GoBack"/>
      <w:bookmarkEnd w:id="0"/>
    </w:p>
    <w:sectPr w:rsidR="00284895" w:rsidRPr="005D02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A1A3E"/>
    <w:multiLevelType w:val="multilevel"/>
    <w:tmpl w:val="5B40F86A"/>
    <w:lvl w:ilvl="0">
      <w:start w:val="4"/>
      <w:numFmt w:val="decimal"/>
      <w:lvlText w:val="%1."/>
      <w:lvlJc w:val="left"/>
      <w:pPr>
        <w:ind w:left="360" w:hanging="360"/>
      </w:pPr>
      <w:rPr>
        <w:rFonts w:cstheme="minorHAnsi" w:hint="default"/>
      </w:rPr>
    </w:lvl>
    <w:lvl w:ilvl="1">
      <w:start w:val="1"/>
      <w:numFmt w:val="decimal"/>
      <w:lvlText w:val="%1.%2."/>
      <w:lvlJc w:val="left"/>
      <w:pPr>
        <w:ind w:left="360" w:hanging="360"/>
      </w:pPr>
      <w:rPr>
        <w:rFonts w:ascii="Calibri" w:hAnsi="Calibri" w:cstheme="minorHAnsi" w:hint="default"/>
        <w:i w:val="0"/>
        <w:sz w:val="22"/>
        <w:szCs w:val="22"/>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1">
    <w:nsid w:val="22E61575"/>
    <w:multiLevelType w:val="hybridMultilevel"/>
    <w:tmpl w:val="A09886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AED"/>
    <w:rsid w:val="000D0287"/>
    <w:rsid w:val="00236039"/>
    <w:rsid w:val="00284895"/>
    <w:rsid w:val="003D61EB"/>
    <w:rsid w:val="00577B41"/>
    <w:rsid w:val="005D02FD"/>
    <w:rsid w:val="00B64A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7BAE1-0A00-4833-8B10-78808B15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AED"/>
    <w:pPr>
      <w:spacing w:after="200" w:line="240" w:lineRule="auto"/>
    </w:pPr>
    <w:rPr>
      <w:rFonts w:ascii="Cambria" w:eastAsia="Times New Roman" w:hAnsi="Cambria" w:cs="Times New Roman"/>
      <w:sz w:val="24"/>
      <w:szCs w:val="24"/>
      <w:lang w:eastAsia="ja-JP"/>
    </w:rPr>
  </w:style>
  <w:style w:type="paragraph" w:styleId="Ttulo1">
    <w:name w:val="heading 1"/>
    <w:basedOn w:val="Normal"/>
    <w:next w:val="Normal"/>
    <w:link w:val="Ttulo1Car"/>
    <w:uiPriority w:val="9"/>
    <w:qFormat/>
    <w:rsid w:val="00B64AED"/>
    <w:pPr>
      <w:keepNext/>
      <w:spacing w:before="240" w:after="60"/>
      <w:outlineLvl w:val="0"/>
    </w:pPr>
    <w:rPr>
      <w:rFonts w:ascii="Calibri" w:hAnsi="Calibr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64AED"/>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link w:val="SinespaciadoCar"/>
    <w:uiPriority w:val="1"/>
    <w:qFormat/>
    <w:rsid w:val="00B64AED"/>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B64AED"/>
    <w:rPr>
      <w:rFonts w:ascii="Calibri" w:eastAsia="Times New Roman" w:hAnsi="Calibri" w:cs="Times New Roman"/>
      <w:lang w:val="es-ES"/>
    </w:rPr>
  </w:style>
  <w:style w:type="character" w:customStyle="1" w:styleId="Ttulo1Car">
    <w:name w:val="Título 1 Car"/>
    <w:basedOn w:val="Fuentedeprrafopredeter"/>
    <w:link w:val="Ttulo1"/>
    <w:uiPriority w:val="9"/>
    <w:rsid w:val="00B64AED"/>
    <w:rPr>
      <w:rFonts w:ascii="Calibri" w:eastAsia="Times New Roman" w:hAnsi="Calibri" w:cs="Times New Roman"/>
      <w:b/>
      <w:bCs/>
      <w:kern w:val="32"/>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1229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Carolina Blanco Rodriguez</dc:creator>
  <cp:keywords/>
  <dc:description/>
  <cp:lastModifiedBy>Diana Carolina Blanco Rodriguez</cp:lastModifiedBy>
  <cp:revision>2</cp:revision>
  <dcterms:created xsi:type="dcterms:W3CDTF">2018-06-14T14:41:00Z</dcterms:created>
  <dcterms:modified xsi:type="dcterms:W3CDTF">2018-06-14T14:41:00Z</dcterms:modified>
</cp:coreProperties>
</file>